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ind w:firstLine="640"/>
        <w:rPr>
          <w:color w:val="000000" w:themeColor="text1"/>
          <w14:textFill>
            <w14:solidFill>
              <w14:schemeClr w14:val="tx1"/>
            </w14:solidFill>
          </w14:textFill>
        </w:rPr>
      </w:pPr>
    </w:p>
    <w:p>
      <w:pPr>
        <w:pStyle w:val="11"/>
        <w:ind w:firstLine="640"/>
        <w:rPr>
          <w:color w:val="000000" w:themeColor="text1"/>
          <w14:textFill>
            <w14:solidFill>
              <w14:schemeClr w14:val="tx1"/>
            </w14:solidFill>
          </w14:textFill>
        </w:rPr>
      </w:pPr>
    </w:p>
    <w:p>
      <w:pPr>
        <w:adjustRightInd w:val="0"/>
        <w:snapToGrid w:val="0"/>
        <w:spacing w:line="520" w:lineRule="exact"/>
        <w:ind w:firstLine="0" w:firstLineChars="0"/>
        <w:jc w:val="center"/>
        <w:rPr>
          <w:rFonts w:ascii="Calibri" w:hAnsi="Calibri" w:eastAsia="等线" w:cs="方正小标宋简体"/>
          <w:bCs/>
          <w:color w:val="000000" w:themeColor="text1"/>
          <w:sz w:val="36"/>
          <w:szCs w:val="36"/>
          <w14:textFill>
            <w14:solidFill>
              <w14:schemeClr w14:val="tx1"/>
            </w14:solidFill>
          </w14:textFill>
        </w:rPr>
      </w:pPr>
      <w:r>
        <w:rPr>
          <w:rFonts w:hint="eastAsia" w:ascii="Calibri" w:hAnsi="Calibri" w:eastAsia="方正小标宋简体" w:cs="方正小标宋简体"/>
          <w:bCs/>
          <w:color w:val="000000" w:themeColor="text1"/>
          <w:sz w:val="36"/>
          <w:szCs w:val="36"/>
          <w14:textFill>
            <w14:solidFill>
              <w14:schemeClr w14:val="tx1"/>
            </w14:solidFill>
          </w14:textFill>
        </w:rPr>
        <w:t>项目名称：</w:t>
      </w:r>
      <w:r>
        <w:rPr>
          <w:rFonts w:hint="eastAsia" w:ascii="Calibri" w:hAnsi="Calibri" w:eastAsia="等线" w:cs="方正小标宋简体"/>
          <w:bCs/>
          <w:color w:val="000000" w:themeColor="text1"/>
          <w:sz w:val="36"/>
          <w:szCs w:val="36"/>
          <w14:textFill>
            <w14:solidFill>
              <w14:schemeClr w14:val="tx1"/>
            </w14:solidFill>
          </w14:textFill>
        </w:rPr>
        <w:t>专用线（专用铁路）集装箱运输业务合作</w:t>
      </w:r>
    </w:p>
    <w:p>
      <w:pPr>
        <w:spacing w:line="700" w:lineRule="exact"/>
        <w:ind w:firstLine="1044"/>
        <w:jc w:val="center"/>
        <w:rPr>
          <w:rFonts w:ascii="宋体"/>
          <w:b/>
          <w:color w:val="000000" w:themeColor="text1"/>
          <w:sz w:val="52"/>
          <w:szCs w:val="52"/>
          <w14:textFill>
            <w14:solidFill>
              <w14:schemeClr w14:val="tx1"/>
            </w14:solidFill>
          </w14:textFill>
        </w:rPr>
      </w:pPr>
    </w:p>
    <w:p>
      <w:pPr>
        <w:spacing w:line="700" w:lineRule="exact"/>
        <w:ind w:firstLine="0" w:firstLineChars="0"/>
        <w:jc w:val="center"/>
        <w:rPr>
          <w:b/>
          <w:color w:val="000000" w:themeColor="text1"/>
          <w:sz w:val="52"/>
          <w:szCs w:val="52"/>
          <w14:textFill>
            <w14:solidFill>
              <w14:schemeClr w14:val="tx1"/>
            </w14:solidFill>
          </w14:textFill>
        </w:rPr>
      </w:pPr>
      <w:r>
        <w:rPr>
          <w:rFonts w:hint="eastAsia"/>
          <w:b/>
          <w:color w:val="000000" w:themeColor="text1"/>
          <w:sz w:val="52"/>
          <w:szCs w:val="52"/>
          <w14:textFill>
            <w14:solidFill>
              <w14:schemeClr w14:val="tx1"/>
            </w14:solidFill>
          </w14:textFill>
        </w:rPr>
        <w:t>招</w:t>
      </w:r>
    </w:p>
    <w:p>
      <w:pPr>
        <w:spacing w:line="700" w:lineRule="exact"/>
        <w:ind w:firstLine="0" w:firstLineChars="0"/>
        <w:jc w:val="center"/>
        <w:rPr>
          <w:b/>
          <w:color w:val="000000" w:themeColor="text1"/>
          <w:sz w:val="52"/>
          <w:szCs w:val="52"/>
          <w14:textFill>
            <w14:solidFill>
              <w14:schemeClr w14:val="tx1"/>
            </w14:solidFill>
          </w14:textFill>
        </w:rPr>
      </w:pPr>
    </w:p>
    <w:p>
      <w:pPr>
        <w:spacing w:line="700" w:lineRule="exact"/>
        <w:ind w:firstLine="0" w:firstLineChars="0"/>
        <w:jc w:val="center"/>
        <w:rPr>
          <w:b/>
          <w:color w:val="000000" w:themeColor="text1"/>
          <w:sz w:val="52"/>
          <w:szCs w:val="52"/>
          <w14:textFill>
            <w14:solidFill>
              <w14:schemeClr w14:val="tx1"/>
            </w14:solidFill>
          </w14:textFill>
        </w:rPr>
      </w:pPr>
      <w:r>
        <w:rPr>
          <w:rFonts w:hint="eastAsia"/>
          <w:b/>
          <w:color w:val="000000" w:themeColor="text1"/>
          <w:sz w:val="52"/>
          <w:szCs w:val="52"/>
          <w14:textFill>
            <w14:solidFill>
              <w14:schemeClr w14:val="tx1"/>
            </w14:solidFill>
          </w14:textFill>
        </w:rPr>
        <w:t>标</w:t>
      </w:r>
    </w:p>
    <w:p>
      <w:pPr>
        <w:spacing w:line="700" w:lineRule="exact"/>
        <w:ind w:firstLine="0" w:firstLineChars="0"/>
        <w:jc w:val="center"/>
        <w:rPr>
          <w:b/>
          <w:color w:val="000000" w:themeColor="text1"/>
          <w:sz w:val="52"/>
          <w:szCs w:val="52"/>
          <w14:textFill>
            <w14:solidFill>
              <w14:schemeClr w14:val="tx1"/>
            </w14:solidFill>
          </w14:textFill>
        </w:rPr>
      </w:pPr>
    </w:p>
    <w:p>
      <w:pPr>
        <w:spacing w:line="700" w:lineRule="exact"/>
        <w:ind w:firstLine="0" w:firstLineChars="0"/>
        <w:jc w:val="center"/>
        <w:rPr>
          <w:b/>
          <w:color w:val="000000" w:themeColor="text1"/>
          <w:sz w:val="52"/>
          <w:szCs w:val="52"/>
          <w14:textFill>
            <w14:solidFill>
              <w14:schemeClr w14:val="tx1"/>
            </w14:solidFill>
          </w14:textFill>
        </w:rPr>
      </w:pPr>
      <w:r>
        <w:rPr>
          <w:rFonts w:hint="eastAsia"/>
          <w:b/>
          <w:color w:val="000000" w:themeColor="text1"/>
          <w:sz w:val="52"/>
          <w:szCs w:val="52"/>
          <w14:textFill>
            <w14:solidFill>
              <w14:schemeClr w14:val="tx1"/>
            </w14:solidFill>
          </w14:textFill>
        </w:rPr>
        <w:t>文</w:t>
      </w:r>
    </w:p>
    <w:p>
      <w:pPr>
        <w:spacing w:line="700" w:lineRule="exact"/>
        <w:ind w:firstLine="0" w:firstLineChars="0"/>
        <w:jc w:val="center"/>
        <w:rPr>
          <w:b/>
          <w:color w:val="000000" w:themeColor="text1"/>
          <w:sz w:val="52"/>
          <w:szCs w:val="52"/>
          <w14:textFill>
            <w14:solidFill>
              <w14:schemeClr w14:val="tx1"/>
            </w14:solidFill>
          </w14:textFill>
        </w:rPr>
      </w:pPr>
    </w:p>
    <w:p>
      <w:pPr>
        <w:spacing w:line="700" w:lineRule="exact"/>
        <w:ind w:firstLine="0" w:firstLineChars="0"/>
        <w:jc w:val="center"/>
        <w:rPr>
          <w:b/>
          <w:color w:val="000000" w:themeColor="text1"/>
          <w:sz w:val="52"/>
          <w:szCs w:val="52"/>
          <w14:textFill>
            <w14:solidFill>
              <w14:schemeClr w14:val="tx1"/>
            </w14:solidFill>
          </w14:textFill>
        </w:rPr>
      </w:pPr>
      <w:r>
        <w:rPr>
          <w:rFonts w:hint="eastAsia"/>
          <w:b/>
          <w:color w:val="000000" w:themeColor="text1"/>
          <w:sz w:val="52"/>
          <w:szCs w:val="52"/>
          <w14:textFill>
            <w14:solidFill>
              <w14:schemeClr w14:val="tx1"/>
            </w14:solidFill>
          </w14:textFill>
        </w:rPr>
        <w:t>件</w:t>
      </w:r>
    </w:p>
    <w:p>
      <w:pPr>
        <w:ind w:firstLine="1044"/>
        <w:jc w:val="center"/>
        <w:rPr>
          <w:b/>
          <w:color w:val="000000" w:themeColor="text1"/>
          <w:sz w:val="52"/>
          <w:szCs w:val="52"/>
          <w14:textFill>
            <w14:solidFill>
              <w14:schemeClr w14:val="tx1"/>
            </w14:solidFill>
          </w14:textFill>
        </w:rPr>
      </w:pPr>
    </w:p>
    <w:p>
      <w:pPr>
        <w:spacing w:line="360" w:lineRule="auto"/>
        <w:ind w:firstLine="643"/>
        <w:jc w:val="center"/>
        <w:rPr>
          <w:b/>
          <w:color w:val="000000" w:themeColor="text1"/>
          <w:sz w:val="32"/>
          <w:szCs w:val="32"/>
          <w14:textFill>
            <w14:solidFill>
              <w14:schemeClr w14:val="tx1"/>
            </w14:solidFill>
          </w14:textFill>
        </w:rPr>
      </w:pPr>
    </w:p>
    <w:p>
      <w:pPr>
        <w:pStyle w:val="11"/>
        <w:ind w:firstLine="640"/>
        <w:rPr>
          <w:color w:val="000000" w:themeColor="text1"/>
          <w14:textFill>
            <w14:solidFill>
              <w14:schemeClr w14:val="tx1"/>
            </w14:solidFill>
          </w14:textFill>
        </w:rPr>
      </w:pPr>
    </w:p>
    <w:p>
      <w:pPr>
        <w:spacing w:line="360" w:lineRule="auto"/>
        <w:ind w:firstLine="643"/>
        <w:jc w:val="center"/>
        <w:rPr>
          <w:b/>
          <w:color w:val="000000" w:themeColor="text1"/>
          <w:sz w:val="32"/>
          <w:szCs w:val="32"/>
          <w14:textFill>
            <w14:solidFill>
              <w14:schemeClr w14:val="tx1"/>
            </w14:solidFill>
          </w14:textFill>
        </w:rPr>
      </w:pPr>
    </w:p>
    <w:p>
      <w:pPr>
        <w:spacing w:line="440" w:lineRule="exact"/>
        <w:ind w:firstLine="562"/>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中国·四川</w:t>
      </w:r>
    </w:p>
    <w:p>
      <w:pPr>
        <w:spacing w:line="300" w:lineRule="exact"/>
        <w:ind w:firstLine="5200" w:firstLineChars="1850"/>
        <w:jc w:val="both"/>
        <w:rPr>
          <w:b/>
          <w:color w:val="000000" w:themeColor="text1"/>
          <w:sz w:val="28"/>
          <w:szCs w:val="28"/>
          <w14:textFill>
            <w14:solidFill>
              <w14:schemeClr w14:val="tx1"/>
            </w14:solidFill>
          </w14:textFill>
        </w:rPr>
      </w:pPr>
    </w:p>
    <w:p>
      <w:pPr>
        <w:spacing w:line="300" w:lineRule="exact"/>
        <w:ind w:firstLine="1687" w:firstLineChars="600"/>
        <w:jc w:val="both"/>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 xml:space="preserve">招 </w:t>
      </w:r>
      <w:r>
        <w:rPr>
          <w:b/>
          <w:color w:val="000000" w:themeColor="text1"/>
          <w:sz w:val="28"/>
          <w:szCs w:val="28"/>
          <w14:textFill>
            <w14:solidFill>
              <w14:schemeClr w14:val="tx1"/>
            </w14:solidFill>
          </w14:textFill>
        </w:rPr>
        <w:t xml:space="preserve">  </w:t>
      </w:r>
      <w:r>
        <w:rPr>
          <w:rFonts w:hint="eastAsia"/>
          <w:b/>
          <w:color w:val="000000" w:themeColor="text1"/>
          <w:sz w:val="28"/>
          <w:szCs w:val="28"/>
          <w14:textFill>
            <w14:solidFill>
              <w14:schemeClr w14:val="tx1"/>
            </w14:solidFill>
          </w14:textFill>
        </w:rPr>
        <w:t>标   人：</w:t>
      </w:r>
      <w:r>
        <w:rPr>
          <w:rFonts w:hint="eastAsia" w:ascii="宋体" w:hAnsi="宋体"/>
          <w:b/>
          <w:color w:val="000000" w:themeColor="text1"/>
          <w:sz w:val="28"/>
          <w:szCs w:val="28"/>
          <w14:textFill>
            <w14:solidFill>
              <w14:schemeClr w14:val="tx1"/>
            </w14:solidFill>
          </w14:textFill>
        </w:rPr>
        <w:t xml:space="preserve">成都创源国际货运代理有限公司        </w:t>
      </w:r>
      <w:r>
        <w:rPr>
          <w:rFonts w:hint="eastAsia"/>
          <w:b/>
          <w:color w:val="000000" w:themeColor="text1"/>
          <w:sz w:val="28"/>
          <w:szCs w:val="28"/>
          <w14:textFill>
            <w14:solidFill>
              <w14:schemeClr w14:val="tx1"/>
            </w14:solidFill>
          </w14:textFill>
        </w:rPr>
        <w:t>编制</w:t>
      </w:r>
    </w:p>
    <w:p>
      <w:pPr>
        <w:ind w:firstLine="562"/>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 xml:space="preserve"> </w:t>
      </w:r>
    </w:p>
    <w:p>
      <w:pPr>
        <w:spacing w:line="300" w:lineRule="exact"/>
        <w:ind w:firstLine="1124" w:firstLineChars="400"/>
        <w:jc w:val="both"/>
        <w:rPr>
          <w:b/>
          <w:color w:val="000000" w:themeColor="text1"/>
          <w:sz w:val="28"/>
          <w:szCs w:val="28"/>
          <w14:textFill>
            <w14:solidFill>
              <w14:schemeClr w14:val="tx1"/>
            </w14:solidFill>
          </w14:textFill>
        </w:rPr>
      </w:pPr>
    </w:p>
    <w:p>
      <w:pPr>
        <w:spacing w:line="300" w:lineRule="exact"/>
        <w:ind w:firstLine="0" w:firstLineChars="0"/>
        <w:jc w:val="both"/>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 xml:space="preserve">    </w:t>
      </w:r>
    </w:p>
    <w:p>
      <w:pPr>
        <w:spacing w:line="480" w:lineRule="exact"/>
        <w:ind w:firstLine="562"/>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 xml:space="preserve">                            202</w:t>
      </w:r>
      <w:r>
        <w:rPr>
          <w:rFonts w:ascii="宋体" w:hAnsi="宋体"/>
          <w:b/>
          <w:color w:val="000000" w:themeColor="text1"/>
          <w:sz w:val="28"/>
          <w:szCs w:val="28"/>
          <w14:textFill>
            <w14:solidFill>
              <w14:schemeClr w14:val="tx1"/>
            </w14:solidFill>
          </w14:textFill>
        </w:rPr>
        <w:t>3年</w:t>
      </w:r>
      <w:r>
        <w:rPr>
          <w:rFonts w:hint="eastAsia" w:ascii="宋体" w:hAnsi="宋体"/>
          <w:b/>
          <w:color w:val="000000" w:themeColor="text1"/>
          <w:sz w:val="28"/>
          <w:szCs w:val="28"/>
          <w14:textFill>
            <w14:solidFill>
              <w14:schemeClr w14:val="tx1"/>
            </w14:solidFill>
          </w14:textFill>
        </w:rPr>
        <w:t>03</w:t>
      </w:r>
      <w:r>
        <w:rPr>
          <w:rFonts w:ascii="宋体" w:hAnsi="宋体"/>
          <w:b/>
          <w:color w:val="000000" w:themeColor="text1"/>
          <w:sz w:val="28"/>
          <w:szCs w:val="28"/>
          <w14:textFill>
            <w14:solidFill>
              <w14:schemeClr w14:val="tx1"/>
            </w14:solidFill>
          </w14:textFill>
        </w:rPr>
        <w:t>月</w:t>
      </w:r>
    </w:p>
    <w:p>
      <w:pPr>
        <w:pStyle w:val="65"/>
        <w:ind w:firstLine="562"/>
        <w:jc w:val="center"/>
        <w:rPr>
          <w:color w:val="000000" w:themeColor="text1"/>
          <w14:textFill>
            <w14:solidFill>
              <w14:schemeClr w14:val="tx1"/>
            </w14:solidFill>
          </w14:textFill>
        </w:rPr>
      </w:pPr>
      <w:bookmarkStart w:id="0" w:name="_Hlt101233737"/>
      <w:bookmarkEnd w:id="0"/>
      <w:bookmarkStart w:id="1" w:name="_Hlt101843627"/>
      <w:bookmarkEnd w:id="1"/>
      <w:r>
        <w:rPr>
          <w:color w:val="000000" w:themeColor="text1"/>
          <w:lang w:val="zh-CN"/>
          <w14:textFill>
            <w14:solidFill>
              <w14:schemeClr w14:val="tx1"/>
            </w14:solidFill>
          </w14:textFill>
        </w:rPr>
        <w:br w:type="page"/>
      </w:r>
      <w:r>
        <w:rPr>
          <w:color w:val="000000" w:themeColor="text1"/>
          <w:lang w:val="zh-CN"/>
          <w14:textFill>
            <w14:solidFill>
              <w14:schemeClr w14:val="tx1"/>
            </w14:solidFill>
          </w14:textFill>
        </w:rPr>
        <w:t>目</w:t>
      </w:r>
      <w:r>
        <w:rPr>
          <w:rFonts w:hint="eastAsia"/>
          <w:color w:val="000000" w:themeColor="text1"/>
          <w:lang w:val="zh-CN"/>
          <w14:textFill>
            <w14:solidFill>
              <w14:schemeClr w14:val="tx1"/>
            </w14:solidFill>
          </w14:textFill>
        </w:rPr>
        <w:t xml:space="preserve">   </w:t>
      </w:r>
      <w:r>
        <w:rPr>
          <w:color w:val="000000" w:themeColor="text1"/>
          <w:lang w:val="zh-CN"/>
          <w14:textFill>
            <w14:solidFill>
              <w14:schemeClr w14:val="tx1"/>
            </w14:solidFill>
          </w14:textFill>
        </w:rPr>
        <w:t>录</w:t>
      </w:r>
    </w:p>
    <w:p>
      <w:pPr>
        <w:pStyle w:val="27"/>
        <w:tabs>
          <w:tab w:val="right" w:leader="dot" w:pos="9997"/>
        </w:tabs>
        <w:spacing w:line="500" w:lineRule="exact"/>
        <w:ind w:left="0" w:firstLine="440"/>
        <w:rPr>
          <w:rFonts w:ascii="宋体" w:hAnsi="宋体"/>
          <w:color w:val="000000" w:themeColor="text1"/>
          <w:kern w:val="2"/>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TOC \o "1-3" \h \z \u </w:instrText>
      </w:r>
      <w:r>
        <w:rPr>
          <w:color w:val="000000" w:themeColor="text1"/>
          <w14:textFill>
            <w14:solidFill>
              <w14:schemeClr w14:val="tx1"/>
            </w14:solidFill>
          </w14:textFill>
        </w:rPr>
        <w:fldChar w:fldCharType="separate"/>
      </w:r>
      <w:bookmarkStart w:id="2" w:name="_Hlk96792455"/>
      <w:r>
        <w:rPr>
          <w:rStyle w:val="38"/>
          <w:rFonts w:ascii="宋体" w:hAnsi="宋体"/>
          <w:color w:val="000000" w:themeColor="text1"/>
          <w:sz w:val="24"/>
          <w:szCs w:val="24"/>
          <w14:textFill>
            <w14:solidFill>
              <w14:schemeClr w14:val="tx1"/>
            </w14:solidFill>
          </w14:textFill>
        </w:rPr>
        <w:fldChar w:fldCharType="begin"/>
      </w:r>
      <w:r>
        <w:rPr>
          <w:rStyle w:val="38"/>
          <w:rFonts w:ascii="宋体" w:hAnsi="宋体"/>
          <w:color w:val="000000" w:themeColor="text1"/>
          <w:sz w:val="24"/>
          <w:szCs w:val="24"/>
          <w14:textFill>
            <w14:solidFill>
              <w14:schemeClr w14:val="tx1"/>
            </w14:solidFill>
          </w14:textFill>
        </w:rPr>
        <w:instrText xml:space="preserve"> </w:instrText>
      </w:r>
      <w:r>
        <w:rPr>
          <w:rFonts w:ascii="宋体" w:hAnsi="宋体"/>
          <w:color w:val="000000" w:themeColor="text1"/>
          <w:sz w:val="24"/>
          <w:szCs w:val="24"/>
          <w14:textFill>
            <w14:solidFill>
              <w14:schemeClr w14:val="tx1"/>
            </w14:solidFill>
          </w14:textFill>
        </w:rPr>
        <w:instrText xml:space="preserve">HYPERLINK \l "_Toc96446216"</w:instrText>
      </w:r>
      <w:r>
        <w:rPr>
          <w:rStyle w:val="38"/>
          <w:rFonts w:ascii="宋体" w:hAnsi="宋体"/>
          <w:color w:val="000000" w:themeColor="text1"/>
          <w:sz w:val="24"/>
          <w:szCs w:val="24"/>
          <w14:textFill>
            <w14:solidFill>
              <w14:schemeClr w14:val="tx1"/>
            </w14:solidFill>
          </w14:textFill>
        </w:rPr>
        <w:instrText xml:space="preserve"> </w:instrText>
      </w:r>
      <w:r>
        <w:rPr>
          <w:rStyle w:val="38"/>
          <w:rFonts w:ascii="宋体" w:hAnsi="宋体"/>
          <w:color w:val="000000" w:themeColor="text1"/>
          <w:sz w:val="24"/>
          <w:szCs w:val="24"/>
          <w14:textFill>
            <w14:solidFill>
              <w14:schemeClr w14:val="tx1"/>
            </w14:solidFill>
          </w14:textFill>
        </w:rPr>
        <w:fldChar w:fldCharType="separate"/>
      </w:r>
      <w:r>
        <w:rPr>
          <w:rStyle w:val="38"/>
          <w:rFonts w:hint="eastAsia" w:ascii="宋体" w:hAnsi="宋体"/>
          <w:color w:val="000000" w:themeColor="text1"/>
          <w:sz w:val="24"/>
          <w:szCs w:val="24"/>
          <w14:textFill>
            <w14:solidFill>
              <w14:schemeClr w14:val="tx1"/>
            </w14:solidFill>
          </w14:textFill>
        </w:rPr>
        <w:t>第一章</w:t>
      </w:r>
      <w:r>
        <w:rPr>
          <w:rStyle w:val="38"/>
          <w:rFonts w:ascii="宋体" w:hAnsi="宋体"/>
          <w:color w:val="000000" w:themeColor="text1"/>
          <w:sz w:val="24"/>
          <w:szCs w:val="24"/>
          <w14:textFill>
            <w14:solidFill>
              <w14:schemeClr w14:val="tx1"/>
            </w14:solidFill>
          </w14:textFill>
        </w:rPr>
        <w:t xml:space="preserve">  </w:t>
      </w:r>
      <w:r>
        <w:rPr>
          <w:rStyle w:val="38"/>
          <w:rFonts w:hint="eastAsia" w:ascii="宋体" w:hAnsi="宋体"/>
          <w:color w:val="000000" w:themeColor="text1"/>
          <w:sz w:val="24"/>
          <w:szCs w:val="24"/>
          <w14:textFill>
            <w14:solidFill>
              <w14:schemeClr w14:val="tx1"/>
            </w14:solidFill>
          </w14:textFill>
        </w:rPr>
        <w:t>招标</w:t>
      </w:r>
      <w:bookmarkStart w:id="3" w:name="_Hlt96792403"/>
      <w:r>
        <w:rPr>
          <w:rStyle w:val="38"/>
          <w:rFonts w:hint="eastAsia" w:ascii="宋体" w:hAnsi="宋体"/>
          <w:color w:val="000000" w:themeColor="text1"/>
          <w:sz w:val="24"/>
          <w:szCs w:val="24"/>
          <w14:textFill>
            <w14:solidFill>
              <w14:schemeClr w14:val="tx1"/>
            </w14:solidFill>
          </w14:textFill>
        </w:rPr>
        <w:t>公</w:t>
      </w:r>
      <w:bookmarkEnd w:id="3"/>
      <w:r>
        <w:rPr>
          <w:rStyle w:val="38"/>
          <w:rFonts w:hint="eastAsia" w:ascii="宋体" w:hAnsi="宋体"/>
          <w:color w:val="000000" w:themeColor="text1"/>
          <w:sz w:val="24"/>
          <w:szCs w:val="24"/>
          <w14:textFill>
            <w14:solidFill>
              <w14:schemeClr w14:val="tx1"/>
            </w14:solidFill>
          </w14:textFill>
        </w:rPr>
        <w:t>告</w:t>
      </w:r>
      <w:r>
        <w:rPr>
          <w:rFonts w:ascii="宋体" w:hAnsi="宋体"/>
          <w:color w:val="000000" w:themeColor="text1"/>
          <w:sz w:val="24"/>
          <w:szCs w:val="24"/>
          <w14:textFill>
            <w14:solidFill>
              <w14:schemeClr w14:val="tx1"/>
            </w14:solidFill>
          </w14:textFill>
        </w:rPr>
        <w:tab/>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fldChar w:fldCharType="begin"/>
      </w:r>
      <w:r>
        <w:rPr>
          <w:rFonts w:ascii="宋体" w:hAnsi="宋体"/>
          <w:color w:val="000000" w:themeColor="text1"/>
          <w:sz w:val="24"/>
          <w:szCs w:val="24"/>
          <w14:textFill>
            <w14:solidFill>
              <w14:schemeClr w14:val="tx1"/>
            </w14:solidFill>
          </w14:textFill>
        </w:rPr>
        <w:instrText xml:space="preserve"> PAGEREF _Toc96446216 \h </w:instrText>
      </w:r>
      <w:r>
        <w:rPr>
          <w:rFonts w:ascii="宋体" w:hAnsi="宋体"/>
          <w:color w:val="000000" w:themeColor="text1"/>
          <w:sz w:val="24"/>
          <w:szCs w:val="24"/>
          <w14:textFill>
            <w14:solidFill>
              <w14:schemeClr w14:val="tx1"/>
            </w14:solidFill>
          </w14:textFill>
        </w:rPr>
        <w:fldChar w:fldCharType="separate"/>
      </w:r>
      <w:r>
        <w:rPr>
          <w:rFonts w:ascii="宋体" w:hAnsi="宋体"/>
          <w:color w:val="000000" w:themeColor="text1"/>
          <w:sz w:val="24"/>
          <w:szCs w:val="24"/>
          <w14:textFill>
            <w14:solidFill>
              <w14:schemeClr w14:val="tx1"/>
            </w14:solidFill>
          </w14:textFill>
        </w:rPr>
        <w:t>- 1 -</w:t>
      </w:r>
      <w:r>
        <w:rPr>
          <w:rFonts w:ascii="宋体" w:hAnsi="宋体"/>
          <w:color w:val="000000" w:themeColor="text1"/>
          <w:sz w:val="24"/>
          <w:szCs w:val="24"/>
          <w14:textFill>
            <w14:solidFill>
              <w14:schemeClr w14:val="tx1"/>
            </w14:solidFill>
          </w14:textFill>
        </w:rPr>
        <w:fldChar w:fldCharType="end"/>
      </w:r>
      <w:r>
        <w:rPr>
          <w:rStyle w:val="38"/>
          <w:rFonts w:ascii="宋体" w:hAnsi="宋体"/>
          <w:color w:val="000000" w:themeColor="text1"/>
          <w:sz w:val="24"/>
          <w:szCs w:val="24"/>
          <w14:textFill>
            <w14:solidFill>
              <w14:schemeClr w14:val="tx1"/>
            </w14:solidFill>
          </w14:textFill>
        </w:rPr>
        <w:fldChar w:fldCharType="end"/>
      </w:r>
    </w:p>
    <w:p>
      <w:pPr>
        <w:pStyle w:val="21"/>
        <w:tabs>
          <w:tab w:val="right" w:leader="dot" w:pos="9997"/>
        </w:tabs>
        <w:spacing w:line="500" w:lineRule="exact"/>
        <w:ind w:firstLine="440"/>
        <w:rPr>
          <w:rFonts w:ascii="宋体" w:hAnsi="宋体"/>
          <w:color w:val="000000" w:themeColor="text1"/>
          <w:kern w:val="2"/>
          <w:sz w:val="24"/>
          <w:szCs w:val="24"/>
          <w14:textFill>
            <w14:solidFill>
              <w14:schemeClr w14:val="tx1"/>
            </w14:solidFill>
          </w14:textFill>
        </w:rPr>
      </w:pPr>
      <w:r>
        <w:fldChar w:fldCharType="begin"/>
      </w:r>
      <w:r>
        <w:instrText xml:space="preserve"> HYPERLINK \l "_Toc96446217" </w:instrText>
      </w:r>
      <w:r>
        <w:fldChar w:fldCharType="separate"/>
      </w:r>
      <w:r>
        <w:rPr>
          <w:rStyle w:val="38"/>
          <w:rFonts w:hint="eastAsia" w:ascii="宋体" w:hAnsi="宋体"/>
          <w:color w:val="000000" w:themeColor="text1"/>
          <w:sz w:val="24"/>
          <w:szCs w:val="24"/>
          <w14:textFill>
            <w14:solidFill>
              <w14:schemeClr w14:val="tx1"/>
            </w14:solidFill>
          </w14:textFill>
        </w:rPr>
        <w:t>第二章</w:t>
      </w:r>
      <w:r>
        <w:rPr>
          <w:rStyle w:val="38"/>
          <w:rFonts w:ascii="宋体" w:hAnsi="宋体"/>
          <w:color w:val="000000" w:themeColor="text1"/>
          <w:sz w:val="24"/>
          <w:szCs w:val="24"/>
          <w14:textFill>
            <w14:solidFill>
              <w14:schemeClr w14:val="tx1"/>
            </w14:solidFill>
          </w14:textFill>
        </w:rPr>
        <w:t xml:space="preserve">  </w:t>
      </w:r>
      <w:r>
        <w:rPr>
          <w:rStyle w:val="38"/>
          <w:rFonts w:hint="eastAsia" w:ascii="宋体" w:hAnsi="宋体"/>
          <w:color w:val="000000" w:themeColor="text1"/>
          <w:sz w:val="24"/>
          <w:szCs w:val="24"/>
          <w14:textFill>
            <w14:solidFill>
              <w14:schemeClr w14:val="tx1"/>
            </w14:solidFill>
          </w14:textFill>
        </w:rPr>
        <w:t>投标</w:t>
      </w:r>
      <w:bookmarkStart w:id="4" w:name="_Hlt96792407"/>
      <w:r>
        <w:rPr>
          <w:rStyle w:val="38"/>
          <w:rFonts w:hint="eastAsia" w:ascii="宋体" w:hAnsi="宋体"/>
          <w:color w:val="000000" w:themeColor="text1"/>
          <w:sz w:val="24"/>
          <w:szCs w:val="24"/>
          <w14:textFill>
            <w14:solidFill>
              <w14:schemeClr w14:val="tx1"/>
            </w14:solidFill>
          </w14:textFill>
        </w:rPr>
        <w:t>须</w:t>
      </w:r>
      <w:bookmarkEnd w:id="4"/>
      <w:r>
        <w:rPr>
          <w:rStyle w:val="38"/>
          <w:rFonts w:hint="eastAsia" w:ascii="宋体" w:hAnsi="宋体"/>
          <w:color w:val="000000" w:themeColor="text1"/>
          <w:sz w:val="24"/>
          <w:szCs w:val="24"/>
          <w14:textFill>
            <w14:solidFill>
              <w14:schemeClr w14:val="tx1"/>
            </w14:solidFill>
          </w14:textFill>
        </w:rPr>
        <w:t>知</w:t>
      </w:r>
      <w:r>
        <w:rPr>
          <w:rFonts w:ascii="宋体" w:hAnsi="宋体"/>
          <w:color w:val="000000" w:themeColor="text1"/>
          <w:sz w:val="24"/>
          <w:szCs w:val="24"/>
          <w14:textFill>
            <w14:solidFill>
              <w14:schemeClr w14:val="tx1"/>
            </w14:solidFill>
          </w14:textFill>
        </w:rPr>
        <w:tab/>
      </w:r>
      <w:r>
        <w:rPr>
          <w:rFonts w:ascii="宋体" w:hAnsi="宋体"/>
          <w:color w:val="000000" w:themeColor="text1"/>
          <w:sz w:val="24"/>
          <w:szCs w:val="24"/>
          <w14:textFill>
            <w14:solidFill>
              <w14:schemeClr w14:val="tx1"/>
            </w14:solidFill>
          </w14:textFill>
        </w:rPr>
        <w:fldChar w:fldCharType="begin"/>
      </w:r>
      <w:r>
        <w:rPr>
          <w:rFonts w:ascii="宋体" w:hAnsi="宋体"/>
          <w:color w:val="000000" w:themeColor="text1"/>
          <w:sz w:val="24"/>
          <w:szCs w:val="24"/>
          <w14:textFill>
            <w14:solidFill>
              <w14:schemeClr w14:val="tx1"/>
            </w14:solidFill>
          </w14:textFill>
        </w:rPr>
        <w:instrText xml:space="preserve"> PAGEREF _Toc96446217 \h </w:instrText>
      </w:r>
      <w:r>
        <w:rPr>
          <w:rFonts w:ascii="宋体" w:hAnsi="宋体"/>
          <w:color w:val="000000" w:themeColor="text1"/>
          <w:sz w:val="24"/>
          <w:szCs w:val="24"/>
          <w14:textFill>
            <w14:solidFill>
              <w14:schemeClr w14:val="tx1"/>
            </w14:solidFill>
          </w14:textFill>
        </w:rPr>
        <w:fldChar w:fldCharType="separate"/>
      </w:r>
      <w:r>
        <w:rPr>
          <w:rFonts w:ascii="宋体" w:hAnsi="宋体"/>
          <w:color w:val="000000" w:themeColor="text1"/>
          <w:sz w:val="24"/>
          <w:szCs w:val="24"/>
          <w14:textFill>
            <w14:solidFill>
              <w14:schemeClr w14:val="tx1"/>
            </w14:solidFill>
          </w14:textFill>
        </w:rPr>
        <w:t>- 3 -</w:t>
      </w:r>
      <w:r>
        <w:rPr>
          <w:rFonts w:ascii="宋体" w:hAnsi="宋体"/>
          <w:color w:val="000000" w:themeColor="text1"/>
          <w:sz w:val="24"/>
          <w:szCs w:val="24"/>
          <w14:textFill>
            <w14:solidFill>
              <w14:schemeClr w14:val="tx1"/>
            </w14:solidFill>
          </w14:textFill>
        </w:rPr>
        <w:fldChar w:fldCharType="end"/>
      </w:r>
      <w:r>
        <w:rPr>
          <w:rFonts w:ascii="宋体" w:hAnsi="宋体"/>
          <w:color w:val="000000" w:themeColor="text1"/>
          <w:sz w:val="24"/>
          <w:szCs w:val="24"/>
          <w14:textFill>
            <w14:solidFill>
              <w14:schemeClr w14:val="tx1"/>
            </w14:solidFill>
          </w14:textFill>
        </w:rPr>
        <w:fldChar w:fldCharType="end"/>
      </w:r>
    </w:p>
    <w:p>
      <w:pPr>
        <w:pStyle w:val="21"/>
        <w:tabs>
          <w:tab w:val="right" w:leader="dot" w:pos="9997"/>
        </w:tabs>
        <w:spacing w:line="500" w:lineRule="exact"/>
        <w:ind w:firstLine="440"/>
        <w:rPr>
          <w:rFonts w:ascii="宋体" w:hAnsi="宋体"/>
          <w:color w:val="000000" w:themeColor="text1"/>
          <w:kern w:val="2"/>
          <w:sz w:val="24"/>
          <w:szCs w:val="24"/>
          <w14:textFill>
            <w14:solidFill>
              <w14:schemeClr w14:val="tx1"/>
            </w14:solidFill>
          </w14:textFill>
        </w:rPr>
      </w:pPr>
      <w:r>
        <w:fldChar w:fldCharType="begin"/>
      </w:r>
      <w:r>
        <w:instrText xml:space="preserve"> HYPERLINK \l "_Toc96446257" </w:instrText>
      </w:r>
      <w:r>
        <w:fldChar w:fldCharType="separate"/>
      </w:r>
      <w:r>
        <w:rPr>
          <w:rStyle w:val="38"/>
          <w:rFonts w:hint="eastAsia" w:ascii="宋体" w:hAnsi="宋体"/>
          <w:color w:val="000000" w:themeColor="text1"/>
          <w:sz w:val="24"/>
          <w:szCs w:val="24"/>
          <w14:textFill>
            <w14:solidFill>
              <w14:schemeClr w14:val="tx1"/>
            </w14:solidFill>
          </w14:textFill>
        </w:rPr>
        <w:t>第三章</w:t>
      </w:r>
      <w:r>
        <w:rPr>
          <w:rStyle w:val="38"/>
          <w:rFonts w:ascii="宋体" w:hAnsi="宋体"/>
          <w:color w:val="000000" w:themeColor="text1"/>
          <w:sz w:val="24"/>
          <w:szCs w:val="24"/>
          <w14:textFill>
            <w14:solidFill>
              <w14:schemeClr w14:val="tx1"/>
            </w14:solidFill>
          </w14:textFill>
        </w:rPr>
        <w:t xml:space="preserve">  </w:t>
      </w:r>
      <w:r>
        <w:rPr>
          <w:rStyle w:val="38"/>
          <w:rFonts w:hint="eastAsia" w:ascii="宋体" w:hAnsi="宋体"/>
          <w:color w:val="000000" w:themeColor="text1"/>
          <w:sz w:val="24"/>
          <w:szCs w:val="24"/>
          <w14:textFill>
            <w14:solidFill>
              <w14:schemeClr w14:val="tx1"/>
            </w14:solidFill>
          </w14:textFill>
        </w:rPr>
        <w:t>招标项</w:t>
      </w:r>
      <w:bookmarkStart w:id="5" w:name="_Hlt96792416"/>
      <w:r>
        <w:rPr>
          <w:rStyle w:val="38"/>
          <w:rFonts w:hint="eastAsia" w:ascii="宋体" w:hAnsi="宋体"/>
          <w:color w:val="000000" w:themeColor="text1"/>
          <w:sz w:val="24"/>
          <w:szCs w:val="24"/>
          <w14:textFill>
            <w14:solidFill>
              <w14:schemeClr w14:val="tx1"/>
            </w14:solidFill>
          </w14:textFill>
        </w:rPr>
        <w:t>目</w:t>
      </w:r>
      <w:bookmarkEnd w:id="5"/>
      <w:bookmarkStart w:id="6" w:name="_Hlt96793992"/>
      <w:r>
        <w:rPr>
          <w:rStyle w:val="38"/>
          <w:rFonts w:hint="eastAsia" w:ascii="宋体" w:hAnsi="宋体"/>
          <w:color w:val="000000" w:themeColor="text1"/>
          <w:sz w:val="24"/>
          <w:szCs w:val="24"/>
          <w14:textFill>
            <w14:solidFill>
              <w14:schemeClr w14:val="tx1"/>
            </w14:solidFill>
          </w14:textFill>
        </w:rPr>
        <w:t>技</w:t>
      </w:r>
      <w:bookmarkEnd w:id="6"/>
      <w:r>
        <w:rPr>
          <w:rStyle w:val="38"/>
          <w:rFonts w:hint="eastAsia" w:ascii="宋体" w:hAnsi="宋体"/>
          <w:color w:val="000000" w:themeColor="text1"/>
          <w:sz w:val="24"/>
          <w:szCs w:val="24"/>
          <w14:textFill>
            <w14:solidFill>
              <w14:schemeClr w14:val="tx1"/>
            </w14:solidFill>
          </w14:textFill>
        </w:rPr>
        <w:t>术、服务、业务合作协议内容条款、商务及其他要求</w:t>
      </w:r>
      <w:r>
        <w:rPr>
          <w:rFonts w:ascii="宋体" w:hAnsi="宋体"/>
          <w:color w:val="000000" w:themeColor="text1"/>
          <w:sz w:val="24"/>
          <w:szCs w:val="24"/>
          <w14:textFill>
            <w14:solidFill>
              <w14:schemeClr w14:val="tx1"/>
            </w14:solidFill>
          </w14:textFill>
        </w:rPr>
        <w:tab/>
      </w:r>
      <w:r>
        <w:rPr>
          <w:rFonts w:ascii="宋体" w:hAnsi="宋体"/>
          <w:color w:val="000000" w:themeColor="text1"/>
          <w:sz w:val="24"/>
          <w:szCs w:val="24"/>
          <w14:textFill>
            <w14:solidFill>
              <w14:schemeClr w14:val="tx1"/>
            </w14:solidFill>
          </w14:textFill>
        </w:rPr>
        <w:fldChar w:fldCharType="begin"/>
      </w:r>
      <w:r>
        <w:rPr>
          <w:rFonts w:ascii="宋体" w:hAnsi="宋体"/>
          <w:color w:val="000000" w:themeColor="text1"/>
          <w:sz w:val="24"/>
          <w:szCs w:val="24"/>
          <w14:textFill>
            <w14:solidFill>
              <w14:schemeClr w14:val="tx1"/>
            </w14:solidFill>
          </w14:textFill>
        </w:rPr>
        <w:instrText xml:space="preserve"> PAGEREF _Toc96446257 \h </w:instrText>
      </w:r>
      <w:r>
        <w:rPr>
          <w:rFonts w:ascii="宋体" w:hAnsi="宋体"/>
          <w:color w:val="000000" w:themeColor="text1"/>
          <w:sz w:val="24"/>
          <w:szCs w:val="24"/>
          <w14:textFill>
            <w14:solidFill>
              <w14:schemeClr w14:val="tx1"/>
            </w14:solidFill>
          </w14:textFill>
        </w:rPr>
        <w:fldChar w:fldCharType="separate"/>
      </w:r>
      <w:r>
        <w:rPr>
          <w:rFonts w:ascii="宋体" w:hAnsi="宋体"/>
          <w:color w:val="000000" w:themeColor="text1"/>
          <w:sz w:val="24"/>
          <w:szCs w:val="24"/>
          <w14:textFill>
            <w14:solidFill>
              <w14:schemeClr w14:val="tx1"/>
            </w14:solidFill>
          </w14:textFill>
        </w:rPr>
        <w:t>- 16 -</w:t>
      </w:r>
      <w:r>
        <w:rPr>
          <w:rFonts w:ascii="宋体" w:hAnsi="宋体"/>
          <w:color w:val="000000" w:themeColor="text1"/>
          <w:sz w:val="24"/>
          <w:szCs w:val="24"/>
          <w14:textFill>
            <w14:solidFill>
              <w14:schemeClr w14:val="tx1"/>
            </w14:solidFill>
          </w14:textFill>
        </w:rPr>
        <w:fldChar w:fldCharType="end"/>
      </w:r>
      <w:r>
        <w:rPr>
          <w:rFonts w:ascii="宋体" w:hAnsi="宋体"/>
          <w:color w:val="000000" w:themeColor="text1"/>
          <w:sz w:val="24"/>
          <w:szCs w:val="24"/>
          <w14:textFill>
            <w14:solidFill>
              <w14:schemeClr w14:val="tx1"/>
            </w14:solidFill>
          </w14:textFill>
        </w:rPr>
        <w:fldChar w:fldCharType="end"/>
      </w:r>
    </w:p>
    <w:p>
      <w:pPr>
        <w:pStyle w:val="21"/>
        <w:tabs>
          <w:tab w:val="right" w:leader="dot" w:pos="9997"/>
        </w:tabs>
        <w:spacing w:line="500" w:lineRule="exact"/>
        <w:ind w:firstLine="440"/>
        <w:rPr>
          <w:rFonts w:ascii="宋体" w:hAnsi="宋体"/>
          <w:color w:val="000000" w:themeColor="text1"/>
          <w:kern w:val="2"/>
          <w:sz w:val="24"/>
          <w:szCs w:val="24"/>
          <w14:textFill>
            <w14:solidFill>
              <w14:schemeClr w14:val="tx1"/>
            </w14:solidFill>
          </w14:textFill>
        </w:rPr>
      </w:pPr>
      <w:r>
        <w:fldChar w:fldCharType="begin"/>
      </w:r>
      <w:r>
        <w:instrText xml:space="preserve"> HYPERLINK \l "_Toc96446258" </w:instrText>
      </w:r>
      <w:r>
        <w:fldChar w:fldCharType="separate"/>
      </w:r>
      <w:r>
        <w:rPr>
          <w:rStyle w:val="38"/>
          <w:rFonts w:hint="eastAsia" w:ascii="宋体" w:hAnsi="宋体"/>
          <w:color w:val="000000" w:themeColor="text1"/>
          <w:sz w:val="24"/>
          <w:szCs w:val="24"/>
          <w14:textFill>
            <w14:solidFill>
              <w14:schemeClr w14:val="tx1"/>
            </w14:solidFill>
          </w14:textFill>
        </w:rPr>
        <w:t>第四章</w:t>
      </w:r>
      <w:r>
        <w:rPr>
          <w:rStyle w:val="38"/>
          <w:rFonts w:ascii="宋体" w:hAnsi="宋体"/>
          <w:color w:val="000000" w:themeColor="text1"/>
          <w:sz w:val="24"/>
          <w:szCs w:val="24"/>
          <w14:textFill>
            <w14:solidFill>
              <w14:schemeClr w14:val="tx1"/>
            </w14:solidFill>
          </w14:textFill>
        </w:rPr>
        <w:t xml:space="preserve">  </w:t>
      </w:r>
      <w:r>
        <w:rPr>
          <w:rStyle w:val="38"/>
          <w:rFonts w:hint="eastAsia" w:ascii="宋体" w:hAnsi="宋体"/>
          <w:color w:val="000000" w:themeColor="text1"/>
          <w:sz w:val="24"/>
          <w:szCs w:val="24"/>
          <w14:textFill>
            <w14:solidFill>
              <w14:schemeClr w14:val="tx1"/>
            </w14:solidFill>
          </w14:textFill>
        </w:rPr>
        <w:t>招标内</w:t>
      </w:r>
      <w:bookmarkStart w:id="7" w:name="_Hlt96792423"/>
      <w:r>
        <w:rPr>
          <w:rStyle w:val="38"/>
          <w:rFonts w:hint="eastAsia" w:ascii="宋体" w:hAnsi="宋体"/>
          <w:color w:val="000000" w:themeColor="text1"/>
          <w:sz w:val="24"/>
          <w:szCs w:val="24"/>
          <w14:textFill>
            <w14:solidFill>
              <w14:schemeClr w14:val="tx1"/>
            </w14:solidFill>
          </w14:textFill>
        </w:rPr>
        <w:t>容</w:t>
      </w:r>
      <w:bookmarkEnd w:id="7"/>
      <w:r>
        <w:rPr>
          <w:rStyle w:val="38"/>
          <w:rFonts w:hint="eastAsia" w:ascii="宋体" w:hAnsi="宋体"/>
          <w:color w:val="000000" w:themeColor="text1"/>
          <w:sz w:val="24"/>
          <w:szCs w:val="24"/>
          <w14:textFill>
            <w14:solidFill>
              <w14:schemeClr w14:val="tx1"/>
            </w14:solidFill>
          </w14:textFill>
        </w:rPr>
        <w:t>、招标过程中可实质性变动的内容</w:t>
      </w:r>
      <w:r>
        <w:rPr>
          <w:rFonts w:ascii="宋体" w:hAnsi="宋体"/>
          <w:color w:val="000000" w:themeColor="text1"/>
          <w:sz w:val="24"/>
          <w:szCs w:val="24"/>
          <w14:textFill>
            <w14:solidFill>
              <w14:schemeClr w14:val="tx1"/>
            </w14:solidFill>
          </w14:textFill>
        </w:rPr>
        <w:tab/>
      </w:r>
      <w:r>
        <w:rPr>
          <w:rFonts w:ascii="宋体" w:hAnsi="宋体"/>
          <w:color w:val="000000" w:themeColor="text1"/>
          <w:sz w:val="24"/>
          <w:szCs w:val="24"/>
          <w14:textFill>
            <w14:solidFill>
              <w14:schemeClr w14:val="tx1"/>
            </w14:solidFill>
          </w14:textFill>
        </w:rPr>
        <w:fldChar w:fldCharType="begin"/>
      </w:r>
      <w:r>
        <w:rPr>
          <w:rFonts w:ascii="宋体" w:hAnsi="宋体"/>
          <w:color w:val="000000" w:themeColor="text1"/>
          <w:sz w:val="24"/>
          <w:szCs w:val="24"/>
          <w14:textFill>
            <w14:solidFill>
              <w14:schemeClr w14:val="tx1"/>
            </w14:solidFill>
          </w14:textFill>
        </w:rPr>
        <w:instrText xml:space="preserve"> PAGEREF _Toc96446257 \h </w:instrText>
      </w:r>
      <w:r>
        <w:rPr>
          <w:rFonts w:ascii="宋体" w:hAnsi="宋体"/>
          <w:color w:val="000000" w:themeColor="text1"/>
          <w:sz w:val="24"/>
          <w:szCs w:val="24"/>
          <w14:textFill>
            <w14:solidFill>
              <w14:schemeClr w14:val="tx1"/>
            </w14:solidFill>
          </w14:textFill>
        </w:rPr>
        <w:fldChar w:fldCharType="separate"/>
      </w:r>
      <w:r>
        <w:rPr>
          <w:rFonts w:ascii="宋体" w:hAnsi="宋体"/>
          <w:color w:val="000000" w:themeColor="text1"/>
          <w:sz w:val="24"/>
          <w:szCs w:val="24"/>
          <w14:textFill>
            <w14:solidFill>
              <w14:schemeClr w14:val="tx1"/>
            </w14:solidFill>
          </w14:textFill>
        </w:rPr>
        <w:t>- 16 -</w:t>
      </w:r>
      <w:r>
        <w:rPr>
          <w:rFonts w:ascii="宋体" w:hAnsi="宋体"/>
          <w:color w:val="000000" w:themeColor="text1"/>
          <w:sz w:val="24"/>
          <w:szCs w:val="24"/>
          <w14:textFill>
            <w14:solidFill>
              <w14:schemeClr w14:val="tx1"/>
            </w14:solidFill>
          </w14:textFill>
        </w:rPr>
        <w:fldChar w:fldCharType="end"/>
      </w:r>
      <w:r>
        <w:rPr>
          <w:rFonts w:ascii="宋体" w:hAnsi="宋体"/>
          <w:color w:val="000000" w:themeColor="text1"/>
          <w:sz w:val="24"/>
          <w:szCs w:val="24"/>
          <w14:textFill>
            <w14:solidFill>
              <w14:schemeClr w14:val="tx1"/>
            </w14:solidFill>
          </w14:textFill>
        </w:rPr>
        <w:fldChar w:fldCharType="end"/>
      </w:r>
    </w:p>
    <w:p>
      <w:pPr>
        <w:pStyle w:val="21"/>
        <w:tabs>
          <w:tab w:val="right" w:leader="dot" w:pos="9997"/>
        </w:tabs>
        <w:spacing w:line="500" w:lineRule="exact"/>
        <w:ind w:firstLine="440"/>
        <w:rPr>
          <w:rFonts w:ascii="宋体" w:hAnsi="宋体"/>
          <w:color w:val="000000" w:themeColor="text1"/>
          <w:kern w:val="2"/>
          <w:sz w:val="24"/>
          <w:szCs w:val="24"/>
          <w14:textFill>
            <w14:solidFill>
              <w14:schemeClr w14:val="tx1"/>
            </w14:solidFill>
          </w14:textFill>
        </w:rPr>
      </w:pPr>
      <w:r>
        <w:fldChar w:fldCharType="begin"/>
      </w:r>
      <w:r>
        <w:instrText xml:space="preserve"> HYPERLINK \l "_Toc96446259" </w:instrText>
      </w:r>
      <w:r>
        <w:fldChar w:fldCharType="separate"/>
      </w:r>
      <w:r>
        <w:rPr>
          <w:rStyle w:val="38"/>
          <w:rFonts w:hint="eastAsia" w:ascii="宋体" w:hAnsi="宋体"/>
          <w:color w:val="000000" w:themeColor="text1"/>
          <w:sz w:val="24"/>
          <w:szCs w:val="24"/>
          <w14:textFill>
            <w14:solidFill>
              <w14:schemeClr w14:val="tx1"/>
            </w14:solidFill>
          </w14:textFill>
        </w:rPr>
        <w:t>第五章</w:t>
      </w:r>
      <w:r>
        <w:rPr>
          <w:rStyle w:val="38"/>
          <w:rFonts w:ascii="宋体" w:hAnsi="宋体"/>
          <w:color w:val="000000" w:themeColor="text1"/>
          <w:sz w:val="24"/>
          <w:szCs w:val="24"/>
          <w14:textFill>
            <w14:solidFill>
              <w14:schemeClr w14:val="tx1"/>
            </w14:solidFill>
          </w14:textFill>
        </w:rPr>
        <w:t xml:space="preserve">  </w:t>
      </w:r>
      <w:r>
        <w:rPr>
          <w:rStyle w:val="38"/>
          <w:rFonts w:hint="eastAsia" w:ascii="宋体" w:hAnsi="宋体"/>
          <w:color w:val="000000" w:themeColor="text1"/>
          <w:sz w:val="24"/>
          <w:szCs w:val="24"/>
          <w14:textFill>
            <w14:solidFill>
              <w14:schemeClr w14:val="tx1"/>
            </w14:solidFill>
          </w14:textFill>
        </w:rPr>
        <w:t>响应</w:t>
      </w:r>
      <w:bookmarkStart w:id="8" w:name="_Hlt96792428"/>
      <w:r>
        <w:rPr>
          <w:rStyle w:val="38"/>
          <w:rFonts w:hint="eastAsia" w:ascii="宋体" w:hAnsi="宋体"/>
          <w:color w:val="000000" w:themeColor="text1"/>
          <w:sz w:val="24"/>
          <w:szCs w:val="24"/>
          <w14:textFill>
            <w14:solidFill>
              <w14:schemeClr w14:val="tx1"/>
            </w14:solidFill>
          </w14:textFill>
        </w:rPr>
        <w:t>文</w:t>
      </w:r>
      <w:bookmarkEnd w:id="8"/>
      <w:r>
        <w:rPr>
          <w:rStyle w:val="38"/>
          <w:rFonts w:hint="eastAsia" w:ascii="宋体" w:hAnsi="宋体"/>
          <w:color w:val="000000" w:themeColor="text1"/>
          <w:sz w:val="24"/>
          <w:szCs w:val="24"/>
          <w14:textFill>
            <w14:solidFill>
              <w14:schemeClr w14:val="tx1"/>
            </w14:solidFill>
          </w14:textFill>
        </w:rPr>
        <w:t>件格式</w:t>
      </w:r>
      <w:r>
        <w:rPr>
          <w:rFonts w:ascii="宋体" w:hAnsi="宋体"/>
          <w:color w:val="000000" w:themeColor="text1"/>
          <w:sz w:val="24"/>
          <w:szCs w:val="24"/>
          <w14:textFill>
            <w14:solidFill>
              <w14:schemeClr w14:val="tx1"/>
            </w14:solidFill>
          </w14:textFill>
        </w:rPr>
        <w:tab/>
      </w:r>
      <w:r>
        <w:rPr>
          <w:rFonts w:ascii="宋体" w:hAnsi="宋体"/>
          <w:color w:val="000000" w:themeColor="text1"/>
          <w:sz w:val="24"/>
          <w:szCs w:val="24"/>
          <w14:textFill>
            <w14:solidFill>
              <w14:schemeClr w14:val="tx1"/>
            </w14:solidFill>
          </w14:textFill>
        </w:rPr>
        <w:fldChar w:fldCharType="begin"/>
      </w:r>
      <w:r>
        <w:rPr>
          <w:rFonts w:ascii="宋体" w:hAnsi="宋体"/>
          <w:color w:val="000000" w:themeColor="text1"/>
          <w:sz w:val="24"/>
          <w:szCs w:val="24"/>
          <w14:textFill>
            <w14:solidFill>
              <w14:schemeClr w14:val="tx1"/>
            </w14:solidFill>
          </w14:textFill>
        </w:rPr>
        <w:instrText xml:space="preserve"> PAGEREF _Toc96446259 \h </w:instrText>
      </w:r>
      <w:r>
        <w:rPr>
          <w:rFonts w:ascii="宋体" w:hAnsi="宋体"/>
          <w:color w:val="000000" w:themeColor="text1"/>
          <w:sz w:val="24"/>
          <w:szCs w:val="24"/>
          <w14:textFill>
            <w14:solidFill>
              <w14:schemeClr w14:val="tx1"/>
            </w14:solidFill>
          </w14:textFill>
        </w:rPr>
        <w:fldChar w:fldCharType="separate"/>
      </w:r>
      <w:r>
        <w:rPr>
          <w:rFonts w:ascii="宋体" w:hAnsi="宋体"/>
          <w:color w:val="000000" w:themeColor="text1"/>
          <w:sz w:val="24"/>
          <w:szCs w:val="24"/>
          <w14:textFill>
            <w14:solidFill>
              <w14:schemeClr w14:val="tx1"/>
            </w14:solidFill>
          </w14:textFill>
        </w:rPr>
        <w:t>- 18 -</w:t>
      </w:r>
      <w:r>
        <w:rPr>
          <w:rFonts w:ascii="宋体" w:hAnsi="宋体"/>
          <w:color w:val="000000" w:themeColor="text1"/>
          <w:sz w:val="24"/>
          <w:szCs w:val="24"/>
          <w14:textFill>
            <w14:solidFill>
              <w14:schemeClr w14:val="tx1"/>
            </w14:solidFill>
          </w14:textFill>
        </w:rPr>
        <w:fldChar w:fldCharType="end"/>
      </w:r>
      <w:r>
        <w:rPr>
          <w:rFonts w:ascii="宋体" w:hAnsi="宋体"/>
          <w:color w:val="000000" w:themeColor="text1"/>
          <w:sz w:val="24"/>
          <w:szCs w:val="24"/>
          <w14:textFill>
            <w14:solidFill>
              <w14:schemeClr w14:val="tx1"/>
            </w14:solidFill>
          </w14:textFill>
        </w:rPr>
        <w:fldChar w:fldCharType="end"/>
      </w:r>
    </w:p>
    <w:p>
      <w:pPr>
        <w:pStyle w:val="21"/>
        <w:tabs>
          <w:tab w:val="right" w:leader="dot" w:pos="9997"/>
        </w:tabs>
        <w:spacing w:line="500" w:lineRule="exact"/>
        <w:ind w:firstLine="440"/>
        <w:rPr>
          <w:rFonts w:ascii="宋体" w:hAnsi="宋体"/>
          <w:color w:val="000000" w:themeColor="text1"/>
          <w:kern w:val="2"/>
          <w:sz w:val="24"/>
          <w:szCs w:val="24"/>
          <w14:textFill>
            <w14:solidFill>
              <w14:schemeClr w14:val="tx1"/>
            </w14:solidFill>
          </w14:textFill>
        </w:rPr>
      </w:pPr>
      <w:r>
        <w:fldChar w:fldCharType="begin"/>
      </w:r>
      <w:r>
        <w:instrText xml:space="preserve"> HYPERLINK \l "_Toc96446262" </w:instrText>
      </w:r>
      <w:r>
        <w:fldChar w:fldCharType="separate"/>
      </w:r>
      <w:r>
        <w:rPr>
          <w:rStyle w:val="38"/>
          <w:rFonts w:hint="eastAsia" w:ascii="宋体" w:hAnsi="宋体"/>
          <w:color w:val="000000" w:themeColor="text1"/>
          <w:sz w:val="24"/>
          <w:szCs w:val="24"/>
          <w14:textFill>
            <w14:solidFill>
              <w14:schemeClr w14:val="tx1"/>
            </w14:solidFill>
          </w14:textFill>
        </w:rPr>
        <w:t>第六章</w:t>
      </w:r>
      <w:r>
        <w:rPr>
          <w:rStyle w:val="38"/>
          <w:rFonts w:ascii="宋体" w:hAnsi="宋体"/>
          <w:color w:val="000000" w:themeColor="text1"/>
          <w:sz w:val="24"/>
          <w:szCs w:val="24"/>
          <w14:textFill>
            <w14:solidFill>
              <w14:schemeClr w14:val="tx1"/>
            </w14:solidFill>
          </w14:textFill>
        </w:rPr>
        <w:t xml:space="preserve">  </w:t>
      </w:r>
      <w:r>
        <w:rPr>
          <w:rStyle w:val="38"/>
          <w:rFonts w:hint="eastAsia" w:ascii="宋体" w:hAnsi="宋体"/>
          <w:color w:val="000000" w:themeColor="text1"/>
          <w:sz w:val="24"/>
          <w:szCs w:val="24"/>
          <w14:textFill>
            <w14:solidFill>
              <w14:schemeClr w14:val="tx1"/>
            </w14:solidFill>
          </w14:textFill>
        </w:rPr>
        <w:t>评审</w:t>
      </w:r>
      <w:bookmarkStart w:id="9" w:name="_Hlt96792432"/>
      <w:r>
        <w:rPr>
          <w:rStyle w:val="38"/>
          <w:rFonts w:hint="eastAsia" w:ascii="宋体" w:hAnsi="宋体"/>
          <w:color w:val="000000" w:themeColor="text1"/>
          <w:sz w:val="24"/>
          <w:szCs w:val="24"/>
          <w14:textFill>
            <w14:solidFill>
              <w14:schemeClr w14:val="tx1"/>
            </w14:solidFill>
          </w14:textFill>
        </w:rPr>
        <w:t>方</w:t>
      </w:r>
      <w:bookmarkEnd w:id="9"/>
      <w:bookmarkStart w:id="10" w:name="_Hlt96792397"/>
      <w:bookmarkStart w:id="11" w:name="_Hlt96792396"/>
      <w:r>
        <w:rPr>
          <w:rStyle w:val="38"/>
          <w:rFonts w:hint="eastAsia" w:ascii="宋体" w:hAnsi="宋体"/>
          <w:color w:val="000000" w:themeColor="text1"/>
          <w:sz w:val="24"/>
          <w:szCs w:val="24"/>
          <w14:textFill>
            <w14:solidFill>
              <w14:schemeClr w14:val="tx1"/>
            </w14:solidFill>
          </w14:textFill>
        </w:rPr>
        <w:t>法</w:t>
      </w:r>
      <w:bookmarkEnd w:id="10"/>
      <w:bookmarkEnd w:id="11"/>
      <w:r>
        <w:rPr>
          <w:rFonts w:ascii="宋体" w:hAnsi="宋体"/>
          <w:color w:val="000000" w:themeColor="text1"/>
          <w:sz w:val="24"/>
          <w:szCs w:val="24"/>
          <w14:textFill>
            <w14:solidFill>
              <w14:schemeClr w14:val="tx1"/>
            </w14:solidFill>
          </w14:textFill>
        </w:rPr>
        <w:tab/>
      </w:r>
      <w:r>
        <w:rPr>
          <w:rFonts w:ascii="宋体" w:hAnsi="宋体"/>
          <w:color w:val="000000" w:themeColor="text1"/>
          <w:sz w:val="24"/>
          <w:szCs w:val="24"/>
          <w14:textFill>
            <w14:solidFill>
              <w14:schemeClr w14:val="tx1"/>
            </w14:solidFill>
          </w14:textFill>
        </w:rPr>
        <w:fldChar w:fldCharType="begin"/>
      </w:r>
      <w:r>
        <w:rPr>
          <w:rFonts w:ascii="宋体" w:hAnsi="宋体"/>
          <w:color w:val="000000" w:themeColor="text1"/>
          <w:sz w:val="24"/>
          <w:szCs w:val="24"/>
          <w14:textFill>
            <w14:solidFill>
              <w14:schemeClr w14:val="tx1"/>
            </w14:solidFill>
          </w14:textFill>
        </w:rPr>
        <w:instrText xml:space="preserve"> PAGEREF _Toc96446262 \h </w:instrText>
      </w:r>
      <w:r>
        <w:rPr>
          <w:rFonts w:ascii="宋体" w:hAnsi="宋体"/>
          <w:color w:val="000000" w:themeColor="text1"/>
          <w:sz w:val="24"/>
          <w:szCs w:val="24"/>
          <w14:textFill>
            <w14:solidFill>
              <w14:schemeClr w14:val="tx1"/>
            </w14:solidFill>
          </w14:textFill>
        </w:rPr>
        <w:fldChar w:fldCharType="separate"/>
      </w:r>
      <w:r>
        <w:rPr>
          <w:rFonts w:ascii="宋体" w:hAnsi="宋体"/>
          <w:color w:val="000000" w:themeColor="text1"/>
          <w:sz w:val="24"/>
          <w:szCs w:val="24"/>
          <w14:textFill>
            <w14:solidFill>
              <w14:schemeClr w14:val="tx1"/>
            </w14:solidFill>
          </w14:textFill>
        </w:rPr>
        <w:t>- 28 -</w:t>
      </w:r>
      <w:r>
        <w:rPr>
          <w:rFonts w:ascii="宋体" w:hAnsi="宋体"/>
          <w:color w:val="000000" w:themeColor="text1"/>
          <w:sz w:val="24"/>
          <w:szCs w:val="24"/>
          <w14:textFill>
            <w14:solidFill>
              <w14:schemeClr w14:val="tx1"/>
            </w14:solidFill>
          </w14:textFill>
        </w:rPr>
        <w:fldChar w:fldCharType="end"/>
      </w:r>
      <w:r>
        <w:rPr>
          <w:rFonts w:ascii="宋体" w:hAnsi="宋体"/>
          <w:color w:val="000000" w:themeColor="text1"/>
          <w:sz w:val="24"/>
          <w:szCs w:val="24"/>
          <w14:textFill>
            <w14:solidFill>
              <w14:schemeClr w14:val="tx1"/>
            </w14:solidFill>
          </w14:textFill>
        </w:rPr>
        <w:fldChar w:fldCharType="end"/>
      </w:r>
    </w:p>
    <w:p>
      <w:pPr>
        <w:pStyle w:val="21"/>
        <w:tabs>
          <w:tab w:val="right" w:leader="dot" w:pos="9997"/>
        </w:tabs>
        <w:spacing w:line="500" w:lineRule="exact"/>
        <w:ind w:firstLine="440"/>
        <w:rPr>
          <w:color w:val="000000" w:themeColor="text1"/>
          <w:kern w:val="2"/>
          <w:sz w:val="21"/>
          <w14:textFill>
            <w14:solidFill>
              <w14:schemeClr w14:val="tx1"/>
            </w14:solidFill>
          </w14:textFill>
        </w:rPr>
      </w:pPr>
      <w:r>
        <w:fldChar w:fldCharType="begin"/>
      </w:r>
      <w:r>
        <w:instrText xml:space="preserve"> HYPERLINK \l "_Toc96446302" </w:instrText>
      </w:r>
      <w:r>
        <w:fldChar w:fldCharType="separate"/>
      </w:r>
      <w:r>
        <w:rPr>
          <w:rStyle w:val="38"/>
          <w:rFonts w:hint="eastAsia" w:ascii="宋体" w:hAnsi="宋体"/>
          <w:color w:val="000000" w:themeColor="text1"/>
          <w:sz w:val="24"/>
          <w:szCs w:val="24"/>
          <w14:textFill>
            <w14:solidFill>
              <w14:schemeClr w14:val="tx1"/>
            </w14:solidFill>
          </w14:textFill>
        </w:rPr>
        <w:t>第七章</w:t>
      </w:r>
      <w:r>
        <w:rPr>
          <w:rStyle w:val="38"/>
          <w:rFonts w:ascii="宋体" w:hAnsi="宋体"/>
          <w:color w:val="000000" w:themeColor="text1"/>
          <w:sz w:val="24"/>
          <w:szCs w:val="24"/>
          <w14:textFill>
            <w14:solidFill>
              <w14:schemeClr w14:val="tx1"/>
            </w14:solidFill>
          </w14:textFill>
        </w:rPr>
        <w:t xml:space="preserve">  </w:t>
      </w:r>
      <w:r>
        <w:rPr>
          <w:rStyle w:val="38"/>
          <w:rFonts w:hint="eastAsia" w:ascii="宋体" w:hAnsi="宋体"/>
          <w:color w:val="000000" w:themeColor="text1"/>
          <w:sz w:val="24"/>
          <w:szCs w:val="24"/>
          <w14:textFill>
            <w14:solidFill>
              <w14:schemeClr w14:val="tx1"/>
            </w14:solidFill>
          </w14:textFill>
        </w:rPr>
        <w:t>业务合作协议（草案）</w:t>
      </w:r>
      <w:r>
        <w:rPr>
          <w:rFonts w:ascii="宋体" w:hAnsi="宋体"/>
          <w:color w:val="000000" w:themeColor="text1"/>
          <w:sz w:val="24"/>
          <w:szCs w:val="24"/>
          <w14:textFill>
            <w14:solidFill>
              <w14:schemeClr w14:val="tx1"/>
            </w14:solidFill>
          </w14:textFill>
        </w:rPr>
        <w:tab/>
      </w:r>
      <w:r>
        <w:rPr>
          <w:rFonts w:ascii="宋体" w:hAnsi="宋体"/>
          <w:color w:val="000000" w:themeColor="text1"/>
          <w:sz w:val="24"/>
          <w:szCs w:val="24"/>
          <w14:textFill>
            <w14:solidFill>
              <w14:schemeClr w14:val="tx1"/>
            </w14:solidFill>
          </w14:textFill>
        </w:rPr>
        <w:fldChar w:fldCharType="begin"/>
      </w:r>
      <w:r>
        <w:rPr>
          <w:rFonts w:ascii="宋体" w:hAnsi="宋体"/>
          <w:color w:val="000000" w:themeColor="text1"/>
          <w:sz w:val="24"/>
          <w:szCs w:val="24"/>
          <w14:textFill>
            <w14:solidFill>
              <w14:schemeClr w14:val="tx1"/>
            </w14:solidFill>
          </w14:textFill>
        </w:rPr>
        <w:instrText xml:space="preserve"> PAGEREF _Toc96446302 \h </w:instrText>
      </w:r>
      <w:r>
        <w:rPr>
          <w:rFonts w:ascii="宋体" w:hAnsi="宋体"/>
          <w:color w:val="000000" w:themeColor="text1"/>
          <w:sz w:val="24"/>
          <w:szCs w:val="24"/>
          <w14:textFill>
            <w14:solidFill>
              <w14:schemeClr w14:val="tx1"/>
            </w14:solidFill>
          </w14:textFill>
        </w:rPr>
        <w:fldChar w:fldCharType="separate"/>
      </w:r>
      <w:r>
        <w:rPr>
          <w:rFonts w:ascii="宋体" w:hAnsi="宋体"/>
          <w:color w:val="000000" w:themeColor="text1"/>
          <w:sz w:val="24"/>
          <w:szCs w:val="24"/>
          <w14:textFill>
            <w14:solidFill>
              <w14:schemeClr w14:val="tx1"/>
            </w14:solidFill>
          </w14:textFill>
        </w:rPr>
        <w:t>- 37 -</w:t>
      </w:r>
      <w:r>
        <w:rPr>
          <w:rFonts w:ascii="宋体" w:hAnsi="宋体"/>
          <w:color w:val="000000" w:themeColor="text1"/>
          <w:sz w:val="24"/>
          <w:szCs w:val="24"/>
          <w14:textFill>
            <w14:solidFill>
              <w14:schemeClr w14:val="tx1"/>
            </w14:solidFill>
          </w14:textFill>
        </w:rPr>
        <w:fldChar w:fldCharType="end"/>
      </w:r>
      <w:r>
        <w:rPr>
          <w:rFonts w:ascii="宋体" w:hAnsi="宋体"/>
          <w:color w:val="000000" w:themeColor="text1"/>
          <w:sz w:val="24"/>
          <w:szCs w:val="24"/>
          <w14:textFill>
            <w14:solidFill>
              <w14:schemeClr w14:val="tx1"/>
            </w14:solidFill>
          </w14:textFill>
        </w:rPr>
        <w:fldChar w:fldCharType="end"/>
      </w:r>
    </w:p>
    <w:bookmarkEnd w:id="2"/>
    <w:p>
      <w:pPr>
        <w:ind w:firstLine="480"/>
        <w:rPr>
          <w:color w:val="000000" w:themeColor="text1"/>
          <w14:textFill>
            <w14:solidFill>
              <w14:schemeClr w14:val="tx1"/>
            </w14:solidFill>
          </w14:textFill>
        </w:rPr>
      </w:pPr>
      <w:r>
        <w:rPr>
          <w:color w:val="000000" w:themeColor="text1"/>
          <w14:textFill>
            <w14:solidFill>
              <w14:schemeClr w14:val="tx1"/>
            </w14:solidFill>
          </w14:textFill>
        </w:rPr>
        <w:fldChar w:fldCharType="end"/>
      </w:r>
    </w:p>
    <w:p>
      <w:pPr>
        <w:ind w:firstLine="480"/>
        <w:rPr>
          <w:rFonts w:ascii="宋体" w:hAnsi="宋体"/>
          <w:bCs/>
          <w:color w:val="000000" w:themeColor="text1"/>
          <w14:textFill>
            <w14:solidFill>
              <w14:schemeClr w14:val="tx1"/>
            </w14:solidFill>
          </w14:textFill>
        </w:rPr>
      </w:pPr>
    </w:p>
    <w:p>
      <w:pPr>
        <w:ind w:firstLine="480"/>
        <w:rPr>
          <w:rFonts w:ascii="宋体" w:hAnsi="宋体"/>
          <w:bCs/>
          <w:color w:val="000000" w:themeColor="text1"/>
          <w14:textFill>
            <w14:solidFill>
              <w14:schemeClr w14:val="tx1"/>
            </w14:solidFill>
          </w14:textFill>
        </w:rPr>
      </w:pPr>
    </w:p>
    <w:p>
      <w:pPr>
        <w:ind w:firstLine="480"/>
        <w:rPr>
          <w:rFonts w:ascii="宋体" w:hAnsi="宋体"/>
          <w:bCs/>
          <w:color w:val="000000" w:themeColor="text1"/>
          <w14:textFill>
            <w14:solidFill>
              <w14:schemeClr w14:val="tx1"/>
            </w14:solidFill>
          </w14:textFill>
        </w:rPr>
      </w:pPr>
    </w:p>
    <w:p>
      <w:pPr>
        <w:ind w:firstLine="480"/>
        <w:rPr>
          <w:rFonts w:ascii="宋体" w:hAnsi="宋体"/>
          <w:bCs/>
          <w:color w:val="000000" w:themeColor="text1"/>
          <w14:textFill>
            <w14:solidFill>
              <w14:schemeClr w14:val="tx1"/>
            </w14:solidFill>
          </w14:textFill>
        </w:rPr>
      </w:pPr>
    </w:p>
    <w:p>
      <w:pPr>
        <w:ind w:firstLine="480"/>
        <w:rPr>
          <w:rFonts w:ascii="宋体" w:hAnsi="宋体"/>
          <w:bCs/>
          <w:color w:val="000000" w:themeColor="text1"/>
          <w14:textFill>
            <w14:solidFill>
              <w14:schemeClr w14:val="tx1"/>
            </w14:solidFill>
          </w14:textFill>
        </w:rPr>
      </w:pPr>
    </w:p>
    <w:p>
      <w:pPr>
        <w:ind w:firstLine="480"/>
        <w:rPr>
          <w:rFonts w:ascii="宋体" w:hAnsi="宋体"/>
          <w:bCs/>
          <w:color w:val="000000" w:themeColor="text1"/>
          <w14:textFill>
            <w14:solidFill>
              <w14:schemeClr w14:val="tx1"/>
            </w14:solidFill>
          </w14:textFill>
        </w:rPr>
      </w:pPr>
    </w:p>
    <w:p>
      <w:pPr>
        <w:ind w:firstLine="480"/>
        <w:rPr>
          <w:rFonts w:ascii="宋体" w:hAnsi="宋体"/>
          <w:bCs/>
          <w:color w:val="000000" w:themeColor="text1"/>
          <w14:textFill>
            <w14:solidFill>
              <w14:schemeClr w14:val="tx1"/>
            </w14:solidFill>
          </w14:textFill>
        </w:rPr>
      </w:pPr>
    </w:p>
    <w:p>
      <w:pPr>
        <w:ind w:firstLine="480"/>
        <w:rPr>
          <w:rFonts w:ascii="宋体" w:hAnsi="宋体"/>
          <w:bCs/>
          <w:color w:val="000000" w:themeColor="text1"/>
          <w14:textFill>
            <w14:solidFill>
              <w14:schemeClr w14:val="tx1"/>
            </w14:solidFill>
          </w14:textFill>
        </w:rPr>
      </w:pPr>
    </w:p>
    <w:p>
      <w:pPr>
        <w:ind w:firstLine="480"/>
        <w:rPr>
          <w:rFonts w:ascii="宋体" w:hAnsi="宋体"/>
          <w:bCs/>
          <w:color w:val="000000" w:themeColor="text1"/>
          <w14:textFill>
            <w14:solidFill>
              <w14:schemeClr w14:val="tx1"/>
            </w14:solidFill>
          </w14:textFill>
        </w:rPr>
      </w:pPr>
    </w:p>
    <w:p>
      <w:pPr>
        <w:ind w:firstLine="480"/>
        <w:rPr>
          <w:rFonts w:ascii="宋体" w:hAnsi="宋体"/>
          <w:bCs/>
          <w:color w:val="000000" w:themeColor="text1"/>
          <w14:textFill>
            <w14:solidFill>
              <w14:schemeClr w14:val="tx1"/>
            </w14:solidFill>
          </w14:textFill>
        </w:rPr>
      </w:pPr>
    </w:p>
    <w:p>
      <w:pPr>
        <w:ind w:firstLine="480"/>
        <w:rPr>
          <w:rFonts w:ascii="宋体" w:hAnsi="宋体"/>
          <w:bCs/>
          <w:color w:val="000000" w:themeColor="text1"/>
          <w14:textFill>
            <w14:solidFill>
              <w14:schemeClr w14:val="tx1"/>
            </w14:solidFill>
          </w14:textFill>
        </w:rPr>
      </w:pPr>
    </w:p>
    <w:p>
      <w:pPr>
        <w:ind w:firstLine="480"/>
        <w:rPr>
          <w:rFonts w:ascii="宋体" w:hAnsi="宋体"/>
          <w:bCs/>
          <w:color w:val="000000" w:themeColor="text1"/>
          <w14:textFill>
            <w14:solidFill>
              <w14:schemeClr w14:val="tx1"/>
            </w14:solidFill>
          </w14:textFill>
        </w:rPr>
      </w:pPr>
    </w:p>
    <w:p>
      <w:pPr>
        <w:pStyle w:val="3"/>
        <w:keepNext w:val="0"/>
        <w:keepLines w:val="0"/>
        <w:spacing w:line="360" w:lineRule="exact"/>
        <w:ind w:firstLine="723"/>
        <w:rPr>
          <w:rFonts w:ascii="宋体"/>
          <w:bCs w:val="0"/>
          <w:color w:val="000000" w:themeColor="text1"/>
          <w:sz w:val="36"/>
          <w14:textFill>
            <w14:solidFill>
              <w14:schemeClr w14:val="tx1"/>
            </w14:solidFill>
          </w14:textFill>
        </w:rPr>
      </w:pPr>
    </w:p>
    <w:p>
      <w:pPr>
        <w:pStyle w:val="2"/>
        <w:rPr>
          <w:color w:val="000000" w:themeColor="text1"/>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3607" w:h="16840"/>
          <w:pgMar w:top="1440" w:right="1797" w:bottom="1440" w:left="1797" w:header="851" w:footer="992" w:gutter="0"/>
          <w:pgNumType w:fmt="numberInDash"/>
          <w:cols w:space="720" w:num="1"/>
          <w:titlePg/>
          <w:docGrid w:linePitch="312" w:charSpace="0"/>
        </w:sectPr>
      </w:pPr>
      <w:bookmarkStart w:id="12" w:name="_Toc96446216"/>
    </w:p>
    <w:p>
      <w:pPr>
        <w:pStyle w:val="2"/>
        <w:rPr>
          <w:color w:val="000000" w:themeColor="text1"/>
          <w14:textFill>
            <w14:solidFill>
              <w14:schemeClr w14:val="tx1"/>
            </w14:solidFill>
          </w14:textFill>
        </w:rPr>
      </w:pPr>
      <w:r>
        <w:rPr>
          <w:rFonts w:hint="eastAsia"/>
          <w:color w:val="000000" w:themeColor="text1"/>
          <w14:textFill>
            <w14:solidFill>
              <w14:schemeClr w14:val="tx1"/>
            </w14:solidFill>
          </w14:textFill>
        </w:rPr>
        <w:t>第一章  招标</w:t>
      </w:r>
      <w:bookmarkEnd w:id="12"/>
      <w:r>
        <w:rPr>
          <w:rFonts w:hint="eastAsia"/>
          <w:color w:val="000000" w:themeColor="text1"/>
          <w14:textFill>
            <w14:solidFill>
              <w14:schemeClr w14:val="tx1"/>
            </w14:solidFill>
          </w14:textFill>
        </w:rPr>
        <w:t>公告</w:t>
      </w:r>
    </w:p>
    <w:p>
      <w:pPr>
        <w:ind w:firstLine="559" w:firstLineChars="233"/>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成都创源国际货运代理有限公司</w:t>
      </w:r>
      <w:r>
        <w:rPr>
          <w:rFonts w:hint="eastAsia"/>
          <w:color w:val="000000" w:themeColor="text1"/>
          <w14:textFill>
            <w14:solidFill>
              <w14:schemeClr w14:val="tx1"/>
            </w14:solidFill>
          </w14:textFill>
        </w:rPr>
        <w:t>拟对</w:t>
      </w:r>
      <w:r>
        <w:rPr>
          <w:rFonts w:hint="eastAsia"/>
          <w:color w:val="000000" w:themeColor="text1"/>
          <w:u w:val="single"/>
          <w14:textFill>
            <w14:solidFill>
              <w14:schemeClr w14:val="tx1"/>
            </w14:solidFill>
          </w14:textFill>
        </w:rPr>
        <w:t>专用线(专用铁路)集装箱运输业务合作</w:t>
      </w:r>
      <w:r>
        <w:rPr>
          <w:rFonts w:hint="eastAsia"/>
          <w:color w:val="000000" w:themeColor="text1"/>
          <w:szCs w:val="32"/>
          <w14:textFill>
            <w14:solidFill>
              <w14:schemeClr w14:val="tx1"/>
            </w14:solidFill>
          </w14:textFill>
        </w:rPr>
        <w:t>采用遴选方式</w:t>
      </w:r>
      <w:r>
        <w:rPr>
          <w:rFonts w:hint="eastAsia"/>
          <w:color w:val="000000" w:themeColor="text1"/>
          <w14:textFill>
            <w14:solidFill>
              <w14:schemeClr w14:val="tx1"/>
            </w14:solidFill>
          </w14:textFill>
        </w:rPr>
        <w:t>进行寻求业务合作方，特</w:t>
      </w:r>
      <w:r>
        <w:rPr>
          <w:rFonts w:hint="eastAsia"/>
          <w:color w:val="000000" w:themeColor="text1"/>
          <w:szCs w:val="28"/>
          <w14:textFill>
            <w14:solidFill>
              <w14:schemeClr w14:val="tx1"/>
            </w14:solidFill>
          </w14:textFill>
        </w:rPr>
        <w:t>邀请符合要求的专用线（专用铁路）产权单位参加</w:t>
      </w:r>
      <w:r>
        <w:rPr>
          <w:rFonts w:hint="eastAsia"/>
          <w:color w:val="000000" w:themeColor="text1"/>
          <w14:textFill>
            <w14:solidFill>
              <w14:schemeClr w14:val="tx1"/>
            </w14:solidFill>
          </w14:textFill>
        </w:rPr>
        <w:t>本项目遴选</w:t>
      </w:r>
      <w:r>
        <w:rPr>
          <w:rFonts w:hint="eastAsia"/>
          <w:color w:val="000000" w:themeColor="text1"/>
          <w:szCs w:val="28"/>
          <w14:textFill>
            <w14:solidFill>
              <w14:schemeClr w14:val="tx1"/>
            </w14:solidFill>
          </w14:textFill>
        </w:rPr>
        <w:t>。</w:t>
      </w:r>
    </w:p>
    <w:p>
      <w:pPr>
        <w:ind w:firstLine="480"/>
        <w:rPr>
          <w:rFonts w:ascii="黑体" w:eastAsia="黑体"/>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一、项目基本情况</w:t>
      </w:r>
    </w:p>
    <w:p>
      <w:pPr>
        <w:ind w:firstLine="480"/>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.项目名称：</w:t>
      </w:r>
      <w:r>
        <w:rPr>
          <w:rFonts w:hint="eastAsia"/>
          <w:color w:val="000000" w:themeColor="text1"/>
          <w:u w:val="single"/>
          <w14:textFill>
            <w14:solidFill>
              <w14:schemeClr w14:val="tx1"/>
            </w14:solidFill>
          </w14:textFill>
        </w:rPr>
        <w:t>专用线(专用铁路)集装箱运输业务合作</w:t>
      </w:r>
    </w:p>
    <w:p>
      <w:pPr>
        <w:ind w:firstLine="480"/>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.招标人：成都创源国际货运代理有限公司</w:t>
      </w:r>
    </w:p>
    <w:p>
      <w:pPr>
        <w:ind w:firstLine="480"/>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二、</w:t>
      </w:r>
      <w:bookmarkStart w:id="13" w:name="_Hlk92809193"/>
      <w:r>
        <w:rPr>
          <w:rFonts w:hint="eastAsia"/>
          <w:b/>
          <w:color w:val="000000" w:themeColor="text1"/>
          <w14:textFill>
            <w14:solidFill>
              <w14:schemeClr w14:val="tx1"/>
            </w14:solidFill>
          </w14:textFill>
        </w:rPr>
        <w:t>项目简介：</w:t>
      </w:r>
    </w:p>
    <w:bookmarkEnd w:id="13"/>
    <w:p>
      <w:pPr>
        <w:widowControl/>
        <w:shd w:val="clear" w:color="auto" w:fill="FFFFFF"/>
        <w:spacing w:line="450" w:lineRule="atLeast"/>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招标人目前在眉山地区有稳定货源近1</w:t>
      </w:r>
      <w:r>
        <w:rPr>
          <w:rFonts w:ascii="宋体" w:hAnsi="宋体"/>
          <w:color w:val="000000" w:themeColor="text1"/>
          <w14:textFill>
            <w14:solidFill>
              <w14:schemeClr w14:val="tx1"/>
            </w14:solidFill>
          </w14:textFill>
        </w:rPr>
        <w:t>00</w:t>
      </w:r>
      <w:r>
        <w:rPr>
          <w:rFonts w:hint="eastAsia" w:ascii="宋体" w:hAnsi="宋体"/>
          <w:color w:val="000000" w:themeColor="text1"/>
          <w14:textFill>
            <w14:solidFill>
              <w14:schemeClr w14:val="tx1"/>
            </w14:solidFill>
          </w14:textFill>
        </w:rPr>
        <w:t>万吨/年，并且市场还在不断开拓中，在眉山地区新增年运输量一万标箱（20英尺集装箱）以上及业务量预计年营业收入5000万元以上，且能提供满足集装箱运输业务作业需要的集装箱装卸设备（正面吊、集装箱卡车等）及专业运营团队，同时能解决运输业务拓展需要的涉铁业务协助办理和协调。为谋求资源共享、共同发展，拟以遴选方式寻求在眉山有专用线（专用铁路）且能提供机车取送服务及装卸转运场地的产权单位进行合作，共同拓展铁路集装箱运输业务。</w:t>
      </w:r>
    </w:p>
    <w:p>
      <w:pPr>
        <w:widowControl/>
        <w:shd w:val="clear" w:color="auto" w:fill="FFFFFF"/>
        <w:spacing w:line="450" w:lineRule="atLeast"/>
        <w:ind w:firstLine="48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具体内容及相关要求详见招标文件。</w:t>
      </w:r>
    </w:p>
    <w:p>
      <w:pPr>
        <w:ind w:firstLine="482"/>
        <w:rPr>
          <w:b/>
          <w:bCs/>
          <w:color w:val="000000" w:themeColor="text1"/>
          <w14:textFill>
            <w14:solidFill>
              <w14:schemeClr w14:val="tx1"/>
            </w14:solidFill>
          </w14:textFill>
        </w:rPr>
      </w:pPr>
      <w:r>
        <w:rPr>
          <w:rFonts w:hint="eastAsia"/>
          <w:b/>
          <w:color w:val="000000" w:themeColor="text1"/>
          <w14:textFill>
            <w14:solidFill>
              <w14:schemeClr w14:val="tx1"/>
            </w14:solidFill>
          </w14:textFill>
        </w:rPr>
        <w:t>三</w:t>
      </w:r>
      <w:r>
        <w:rPr>
          <w:rFonts w:hint="eastAsia"/>
          <w:b/>
          <w:bCs/>
          <w:color w:val="000000" w:themeColor="text1"/>
          <w14:textFill>
            <w14:solidFill>
              <w14:schemeClr w14:val="tx1"/>
            </w14:solidFill>
          </w14:textFill>
        </w:rPr>
        <w:t>、邀请方式</w:t>
      </w:r>
    </w:p>
    <w:p>
      <w:pPr>
        <w:spacing w:after="120" w:line="360" w:lineRule="auto"/>
        <w:ind w:left="1680" w:leftChars="200" w:hanging="1200" w:hangingChars="500"/>
        <w:rPr>
          <w:rFonts w:ascii="宋体" w:hAnsi="宋体"/>
          <w:color w:val="000000" w:themeColor="text1"/>
          <w14:textFill>
            <w14:solidFill>
              <w14:schemeClr w14:val="tx1"/>
            </w14:solidFill>
          </w14:textFill>
        </w:rPr>
      </w:pPr>
      <w:bookmarkStart w:id="14" w:name="_Hlk92809666"/>
      <w:r>
        <w:rPr>
          <w:rFonts w:hint="eastAsia" w:ascii="宋体" w:hAnsi="宋体"/>
          <w:color w:val="000000" w:themeColor="text1"/>
          <w14:textFill>
            <w14:solidFill>
              <w14:schemeClr w14:val="tx1"/>
            </w14:solidFill>
          </w14:textFill>
        </w:rPr>
        <w:t>本项目在西南联合产权交易所电子招采平台网站</w:t>
      </w:r>
    </w:p>
    <w:p>
      <w:pPr>
        <w:spacing w:after="120" w:line="360" w:lineRule="auto"/>
        <w:ind w:left="1680" w:leftChars="200" w:hanging="1200" w:hangingChars="5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（https://www.swuee.com/#/purchase/index）发布</w:t>
      </w:r>
      <w:bookmarkEnd w:id="14"/>
      <w:r>
        <w:rPr>
          <w:rFonts w:hint="eastAsia"/>
          <w:color w:val="000000" w:themeColor="text1"/>
          <w14:textFill>
            <w14:solidFill>
              <w14:schemeClr w14:val="tx1"/>
            </w14:solidFill>
          </w14:textFill>
        </w:rPr>
        <w:t>。</w:t>
      </w:r>
    </w:p>
    <w:p>
      <w:pPr>
        <w:ind w:firstLine="48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四、投标人参加本次招标活动应具备下列条件</w:t>
      </w: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（一）一般资格要求</w:t>
      </w: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1.依法注册成立，能够独立承担民事责任；</w:t>
      </w: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2.具有良好的商业信誉和健全的财务会计制度；</w:t>
      </w:r>
    </w:p>
    <w:p>
      <w:pPr>
        <w:ind w:firstLine="480"/>
        <w:rPr>
          <w:rFonts w:ascii="宋体" w:hAnsi="宋体"/>
          <w:bCs/>
          <w:color w:val="000000" w:themeColor="text1"/>
          <w14:textFill>
            <w14:solidFill>
              <w14:schemeClr w14:val="tx1"/>
            </w14:solidFill>
          </w14:textFill>
        </w:rPr>
      </w:pPr>
      <w:r>
        <w:rPr>
          <w:rFonts w:ascii="宋体" w:hAnsi="宋体"/>
          <w:bCs/>
          <w:color w:val="000000" w:themeColor="text1"/>
          <w14:textFill>
            <w14:solidFill>
              <w14:schemeClr w14:val="tx1"/>
            </w14:solidFill>
          </w14:textFill>
        </w:rPr>
        <w:t>3</w:t>
      </w:r>
      <w:r>
        <w:rPr>
          <w:rFonts w:hint="eastAsia" w:ascii="宋体" w:hAnsi="宋体"/>
          <w:bCs/>
          <w:color w:val="000000" w:themeColor="text1"/>
          <w14:textFill>
            <w14:solidFill>
              <w14:schemeClr w14:val="tx1"/>
            </w14:solidFill>
          </w14:textFill>
        </w:rPr>
        <w:t>.具有依法纳税和缴纳社保的良好记录；</w:t>
      </w:r>
    </w:p>
    <w:p>
      <w:pPr>
        <w:ind w:firstLine="480"/>
        <w:rPr>
          <w:rFonts w:ascii="宋体" w:hAnsi="宋体"/>
          <w:color w:val="000000" w:themeColor="text1"/>
          <w14:textFill>
            <w14:solidFill>
              <w14:schemeClr w14:val="tx1"/>
            </w14:solidFill>
          </w14:textFill>
        </w:rPr>
      </w:pPr>
      <w:r>
        <w:rPr>
          <w:rFonts w:ascii="宋体" w:hAnsi="宋体"/>
          <w:bCs/>
          <w:color w:val="000000" w:themeColor="text1"/>
          <w14:textFill>
            <w14:solidFill>
              <w14:schemeClr w14:val="tx1"/>
            </w14:solidFill>
          </w14:textFill>
        </w:rPr>
        <w:t>4</w:t>
      </w:r>
      <w:r>
        <w:rPr>
          <w:rFonts w:hint="eastAsia" w:ascii="宋体" w:hAnsi="宋体"/>
          <w:bCs/>
          <w:color w:val="000000" w:themeColor="text1"/>
          <w14:textFill>
            <w14:solidFill>
              <w14:schemeClr w14:val="tx1"/>
            </w14:solidFill>
          </w14:textFill>
        </w:rPr>
        <w:t>.具有履约所必须的基本财务实力、专业技术能力、服务渠道支持能力和行业经验，提供的产品符合国家、行业标准及招标方要求；</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（二）针对本项目的特殊资格要求：</w:t>
      </w:r>
    </w:p>
    <w:p>
      <w:pPr>
        <w:ind w:firstLine="199" w:firstLineChars="83"/>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1.</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投标人必须拥有自主产权的专用线（专用铁路）;</w:t>
      </w:r>
    </w:p>
    <w:p>
      <w:pPr>
        <w:ind w:firstLine="439" w:firstLineChars="183"/>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投标人专用线（专用铁路）线路及其附属设施、设备状况良好，按照相关要求定期进行维护;</w:t>
      </w:r>
    </w:p>
    <w:p>
      <w:pPr>
        <w:ind w:firstLine="439" w:firstLineChars="183"/>
        <w:rPr>
          <w:color w:val="000000" w:themeColor="text1"/>
          <w14:textFill>
            <w14:solidFill>
              <w14:schemeClr w14:val="tx1"/>
            </w14:solidFill>
          </w14:textFill>
        </w:rPr>
      </w:pPr>
      <w:r>
        <w:rPr>
          <w:rFonts w:hint="eastAsia"/>
          <w:color w:val="000000" w:themeColor="text1"/>
          <w14:textFill>
            <w14:solidFill>
              <w14:schemeClr w14:val="tx1"/>
            </w14:solidFill>
          </w14:textFill>
        </w:rPr>
        <w:t>3. 投标人能够提供5000平方以上场地（含照明、围栏等配套设施）作为集装箱运输业务的转运场地；</w:t>
      </w:r>
    </w:p>
    <w:p>
      <w:pPr>
        <w:ind w:firstLine="439" w:firstLineChars="183"/>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投标人铁路信用良好。</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（三）本次招标不允许联合体招标。</w:t>
      </w:r>
    </w:p>
    <w:p>
      <w:pPr>
        <w:ind w:firstLine="482"/>
        <w:rPr>
          <w:b/>
          <w:color w:val="000000" w:themeColor="text1"/>
          <w14:textFill>
            <w14:solidFill>
              <w14:schemeClr w14:val="tx1"/>
            </w14:solidFill>
          </w14:textFill>
        </w:rPr>
      </w:pPr>
      <w:r>
        <w:rPr>
          <w:rFonts w:hint="eastAsia"/>
          <w:b/>
          <w:bCs/>
          <w:color w:val="000000" w:themeColor="text1"/>
          <w14:textFill>
            <w14:solidFill>
              <w14:schemeClr w14:val="tx1"/>
            </w14:solidFill>
          </w14:textFill>
        </w:rPr>
        <w:t>五、</w:t>
      </w:r>
      <w:bookmarkStart w:id="15" w:name="_Hlk96792608"/>
      <w:r>
        <w:rPr>
          <w:rFonts w:hint="eastAsia"/>
          <w:b/>
          <w:color w:val="000000" w:themeColor="text1"/>
          <w14:textFill>
            <w14:solidFill>
              <w14:schemeClr w14:val="tx1"/>
            </w14:solidFill>
          </w14:textFill>
        </w:rPr>
        <w:t>招标文件获取方式、时间、地点：</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招标文件自202</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月</w:t>
      </w:r>
      <w:r>
        <w:rPr>
          <w:color w:val="000000" w:themeColor="text1"/>
          <w14:textFill>
            <w14:solidFill>
              <w14:schemeClr w14:val="tx1"/>
            </w14:solidFill>
          </w14:textFill>
        </w:rPr>
        <w:t>30</w:t>
      </w:r>
      <w:r>
        <w:rPr>
          <w:rFonts w:hint="eastAsia"/>
          <w:color w:val="000000" w:themeColor="text1"/>
          <w14:textFill>
            <w14:solidFill>
              <w14:schemeClr w14:val="tx1"/>
            </w14:solidFill>
          </w14:textFill>
        </w:rPr>
        <w:t>日</w:t>
      </w:r>
      <w:r>
        <w:rPr>
          <w:color w:val="000000" w:themeColor="text1"/>
          <w14:textFill>
            <w14:solidFill>
              <w14:schemeClr w14:val="tx1"/>
            </w14:solidFill>
          </w14:textFill>
        </w:rPr>
        <w:t>16:</w:t>
      </w:r>
      <w:r>
        <w:rPr>
          <w:rFonts w:hint="eastAsia"/>
          <w:color w:val="000000" w:themeColor="text1"/>
          <w14:textFill>
            <w14:solidFill>
              <w14:schemeClr w14:val="tx1"/>
            </w14:solidFill>
          </w14:textFill>
        </w:rPr>
        <w:t>00至202</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月</w:t>
      </w:r>
      <w:r>
        <w:rPr>
          <w:color w:val="000000" w:themeColor="text1"/>
          <w14:textFill>
            <w14:solidFill>
              <w14:schemeClr w14:val="tx1"/>
            </w14:solidFill>
          </w14:textFill>
        </w:rPr>
        <w:t>13</w:t>
      </w:r>
      <w:r>
        <w:rPr>
          <w:rFonts w:hint="eastAsia"/>
          <w:color w:val="000000" w:themeColor="text1"/>
          <w14:textFill>
            <w14:solidFill>
              <w14:schemeClr w14:val="tx1"/>
            </w14:solidFill>
          </w14:textFill>
        </w:rPr>
        <w:t>日17</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00</w:t>
      </w:r>
      <w:r>
        <w:rPr>
          <w:color w:val="000000" w:themeColor="text1"/>
          <w:szCs w:val="28"/>
          <w14:textFill>
            <w14:solidFill>
              <w14:schemeClr w14:val="tx1"/>
            </w14:solidFill>
          </w14:textFill>
        </w:rPr>
        <w:t>（北京时间）</w:t>
      </w:r>
      <w:r>
        <w:rPr>
          <w:rFonts w:hint="eastAsia"/>
          <w:color w:val="000000" w:themeColor="text1"/>
          <w14:textFill>
            <w14:solidFill>
              <w14:schemeClr w14:val="tx1"/>
            </w14:solidFill>
          </w14:textFill>
        </w:rPr>
        <w:t>在招标人公司网站（</w:t>
      </w:r>
      <w:r>
        <w:rPr>
          <w:color w:val="000000" w:themeColor="text1"/>
          <w14:textFill>
            <w14:solidFill>
              <w14:schemeClr w14:val="tx1"/>
            </w14:solidFill>
          </w14:textFill>
        </w:rPr>
        <w:t>https://www.cyccargo.com/</w:t>
      </w:r>
      <w:r>
        <w:rPr>
          <w:rFonts w:hint="eastAsia"/>
          <w:color w:val="000000" w:themeColor="text1"/>
          <w14:textFill>
            <w14:solidFill>
              <w14:schemeClr w14:val="tx1"/>
            </w14:solidFill>
          </w14:textFill>
        </w:rPr>
        <w:t>）下载获取。</w:t>
      </w:r>
    </w:p>
    <w:p>
      <w:pPr>
        <w:ind w:firstLine="480"/>
        <w:rPr>
          <w:color w:val="000000" w:themeColor="text1"/>
          <w14:textFill>
            <w14:solidFill>
              <w14:schemeClr w14:val="tx1"/>
            </w14:solidFill>
          </w14:textFill>
        </w:rPr>
      </w:pPr>
      <w:r>
        <w:rPr>
          <w:rFonts w:hint="eastAsia"/>
          <w:color w:val="000000" w:themeColor="text1"/>
          <w:szCs w:val="18"/>
          <w14:textFill>
            <w14:solidFill>
              <w14:schemeClr w14:val="tx1"/>
            </w14:solidFill>
          </w14:textFill>
        </w:rPr>
        <w:t>本项目招标文件免费。</w:t>
      </w:r>
    </w:p>
    <w:bookmarkEnd w:id="15"/>
    <w:p>
      <w:pPr>
        <w:ind w:firstLine="482"/>
        <w:rPr>
          <w:color w:val="000000" w:themeColor="text1"/>
          <w14:textFill>
            <w14:solidFill>
              <w14:schemeClr w14:val="tx1"/>
            </w14:solidFill>
          </w14:textFill>
        </w:rPr>
      </w:pPr>
      <w:r>
        <w:rPr>
          <w:rFonts w:hint="eastAsia"/>
          <w:b/>
          <w:color w:val="000000" w:themeColor="text1"/>
          <w14:textFill>
            <w14:solidFill>
              <w14:schemeClr w14:val="tx1"/>
            </w14:solidFill>
          </w14:textFill>
        </w:rPr>
        <w:t>六、</w:t>
      </w:r>
      <w:r>
        <w:rPr>
          <w:rFonts w:hint="eastAsia"/>
          <w:b/>
          <w:color w:val="000000" w:themeColor="text1"/>
          <w:szCs w:val="28"/>
          <w14:textFill>
            <w14:solidFill>
              <w14:schemeClr w14:val="tx1"/>
            </w14:solidFill>
          </w14:textFill>
        </w:rPr>
        <w:t>递交响应文件</w:t>
      </w:r>
      <w:r>
        <w:rPr>
          <w:rFonts w:hint="eastAsia"/>
          <w:b/>
          <w:color w:val="000000" w:themeColor="text1"/>
          <w14:textFill>
            <w14:solidFill>
              <w14:schemeClr w14:val="tx1"/>
            </w14:solidFill>
          </w14:textFill>
        </w:rPr>
        <w:t>截止时间：</w:t>
      </w:r>
      <w:r>
        <w:rPr>
          <w:rFonts w:hint="eastAsia"/>
          <w:color w:val="000000" w:themeColor="text1"/>
          <w14:textFill>
            <w14:solidFill>
              <w14:schemeClr w14:val="tx1"/>
            </w14:solidFill>
          </w14:textFill>
        </w:rPr>
        <w:t>202</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月</w:t>
      </w:r>
      <w:r>
        <w:rPr>
          <w:color w:val="000000" w:themeColor="text1"/>
          <w14:textFill>
            <w14:solidFill>
              <w14:schemeClr w14:val="tx1"/>
            </w14:solidFill>
          </w14:textFill>
        </w:rPr>
        <w:t>14</w:t>
      </w:r>
      <w:r>
        <w:rPr>
          <w:rFonts w:hint="eastAsia"/>
          <w:color w:val="000000" w:themeColor="text1"/>
          <w14:textFill>
            <w14:solidFill>
              <w14:schemeClr w14:val="tx1"/>
            </w14:solidFill>
          </w14:textFill>
        </w:rPr>
        <w:t>日 1</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00</w:t>
      </w:r>
      <w:r>
        <w:rPr>
          <w:color w:val="000000" w:themeColor="text1"/>
          <w:szCs w:val="28"/>
          <w14:textFill>
            <w14:solidFill>
              <w14:schemeClr w14:val="tx1"/>
            </w14:solidFill>
          </w14:textFill>
        </w:rPr>
        <w:t>（北京时间）</w:t>
      </w:r>
      <w:r>
        <w:rPr>
          <w:rFonts w:hint="eastAsia"/>
          <w:color w:val="000000" w:themeColor="text1"/>
          <w:szCs w:val="28"/>
          <w14:textFill>
            <w14:solidFill>
              <w14:schemeClr w14:val="tx1"/>
            </w14:solidFill>
          </w14:textFill>
        </w:rPr>
        <w:t>。</w:t>
      </w:r>
    </w:p>
    <w:p>
      <w:pPr>
        <w:ind w:firstLine="482"/>
        <w:rPr>
          <w:color w:val="000000" w:themeColor="text1"/>
          <w:szCs w:val="28"/>
          <w14:textFill>
            <w14:solidFill>
              <w14:schemeClr w14:val="tx1"/>
            </w14:solidFill>
          </w14:textFill>
        </w:rPr>
      </w:pPr>
      <w:r>
        <w:rPr>
          <w:rFonts w:hint="eastAsia"/>
          <w:b/>
          <w:color w:val="000000" w:themeColor="text1"/>
          <w:szCs w:val="28"/>
          <w14:textFill>
            <w14:solidFill>
              <w14:schemeClr w14:val="tx1"/>
            </w14:solidFill>
          </w14:textFill>
        </w:rPr>
        <w:t>七、</w:t>
      </w:r>
      <w:r>
        <w:rPr>
          <w:rFonts w:hint="eastAsia"/>
          <w:b/>
          <w:color w:val="000000" w:themeColor="text1"/>
          <w14:textFill>
            <w14:solidFill>
              <w14:schemeClr w14:val="tx1"/>
            </w14:solidFill>
          </w14:textFill>
        </w:rPr>
        <w:t>递交响应文件地点：</w:t>
      </w:r>
      <w:r>
        <w:rPr>
          <w:rFonts w:hint="eastAsia"/>
          <w:color w:val="000000" w:themeColor="text1"/>
          <w14:textFill>
            <w14:solidFill>
              <w14:schemeClr w14:val="tx1"/>
            </w14:solidFill>
          </w14:textFill>
        </w:rPr>
        <w:t>响应文件必须在递交响应文件截止时间前送达招标地点。逾期送达、密封和标注错误的响应文件，招标人恕不接收。本次招标不接收邮寄的响应文件。</w:t>
      </w:r>
    </w:p>
    <w:p>
      <w:pPr>
        <w:ind w:firstLine="482"/>
        <w:rPr>
          <w:color w:val="000000" w:themeColor="text1"/>
          <w14:textFill>
            <w14:solidFill>
              <w14:schemeClr w14:val="tx1"/>
            </w14:solidFill>
          </w14:textFill>
        </w:rPr>
      </w:pPr>
      <w:r>
        <w:rPr>
          <w:rFonts w:hint="eastAsia"/>
          <w:b/>
          <w:color w:val="000000" w:themeColor="text1"/>
          <w:szCs w:val="28"/>
          <w14:textFill>
            <w14:solidFill>
              <w14:schemeClr w14:val="tx1"/>
            </w14:solidFill>
          </w14:textFill>
        </w:rPr>
        <w:t>八</w:t>
      </w:r>
      <w:r>
        <w:rPr>
          <w:rFonts w:hint="eastAsia"/>
          <w:b/>
          <w:color w:val="000000" w:themeColor="text1"/>
          <w14:textFill>
            <w14:solidFill>
              <w14:schemeClr w14:val="tx1"/>
            </w14:solidFill>
          </w14:textFill>
        </w:rPr>
        <w:t>、</w:t>
      </w:r>
      <w:r>
        <w:rPr>
          <w:rFonts w:hint="eastAsia"/>
          <w:b/>
          <w:color w:val="000000" w:themeColor="text1"/>
          <w:szCs w:val="28"/>
          <w14:textFill>
            <w14:solidFill>
              <w14:schemeClr w14:val="tx1"/>
            </w14:solidFill>
          </w14:textFill>
        </w:rPr>
        <w:t>响应文件开启时间：</w:t>
      </w:r>
      <w:r>
        <w:rPr>
          <w:rFonts w:hint="eastAsia"/>
          <w:color w:val="000000" w:themeColor="text1"/>
          <w14:textFill>
            <w14:solidFill>
              <w14:schemeClr w14:val="tx1"/>
            </w14:solidFill>
          </w14:textFill>
        </w:rPr>
        <w:t>202</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月</w:t>
      </w:r>
      <w:r>
        <w:rPr>
          <w:color w:val="000000" w:themeColor="text1"/>
          <w14:textFill>
            <w14:solidFill>
              <w14:schemeClr w14:val="tx1"/>
            </w14:solidFill>
          </w14:textFill>
        </w:rPr>
        <w:t>14</w:t>
      </w:r>
      <w:r>
        <w:rPr>
          <w:rFonts w:hint="eastAsia"/>
          <w:color w:val="000000" w:themeColor="text1"/>
          <w14:textFill>
            <w14:solidFill>
              <w14:schemeClr w14:val="tx1"/>
            </w14:solidFill>
          </w14:textFill>
        </w:rPr>
        <w:t>日1</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00</w:t>
      </w:r>
      <w:r>
        <w:rPr>
          <w:color w:val="000000" w:themeColor="text1"/>
          <w:szCs w:val="28"/>
          <w14:textFill>
            <w14:solidFill>
              <w14:schemeClr w14:val="tx1"/>
            </w14:solidFill>
          </w14:textFill>
        </w:rPr>
        <w:t>（北京时间）</w:t>
      </w:r>
      <w:r>
        <w:rPr>
          <w:rFonts w:hint="eastAsia"/>
          <w:color w:val="000000" w:themeColor="text1"/>
          <w:szCs w:val="28"/>
          <w14:textFill>
            <w14:solidFill>
              <w14:schemeClr w14:val="tx1"/>
            </w14:solidFill>
          </w14:textFill>
        </w:rPr>
        <w:t>在招标地点开启。</w:t>
      </w:r>
      <w:r>
        <w:rPr>
          <w:rFonts w:hint="eastAsia"/>
          <w:color w:val="000000" w:themeColor="text1"/>
          <w14:textFill>
            <w14:solidFill>
              <w14:schemeClr w14:val="tx1"/>
            </w14:solidFill>
          </w14:textFill>
        </w:rPr>
        <w:t xml:space="preserve">                                 </w:t>
      </w:r>
    </w:p>
    <w:p>
      <w:pPr>
        <w:ind w:firstLine="482"/>
        <w:rPr>
          <w:color w:val="000000" w:themeColor="text1"/>
          <w:szCs w:val="28"/>
          <w14:textFill>
            <w14:solidFill>
              <w14:schemeClr w14:val="tx1"/>
            </w14:solidFill>
          </w14:textFill>
        </w:rPr>
      </w:pPr>
      <w:r>
        <w:rPr>
          <w:rFonts w:hint="eastAsia"/>
          <w:b/>
          <w:color w:val="000000" w:themeColor="text1"/>
          <w:szCs w:val="28"/>
          <w14:textFill>
            <w14:solidFill>
              <w14:schemeClr w14:val="tx1"/>
            </w14:solidFill>
          </w14:textFill>
        </w:rPr>
        <w:t>九、招标</w:t>
      </w:r>
      <w:r>
        <w:rPr>
          <w:b/>
          <w:color w:val="000000" w:themeColor="text1"/>
          <w:szCs w:val="28"/>
          <w14:textFill>
            <w14:solidFill>
              <w14:schemeClr w14:val="tx1"/>
            </w14:solidFill>
          </w14:textFill>
        </w:rPr>
        <w:t>地点：</w:t>
      </w:r>
      <w:r>
        <w:rPr>
          <w:rFonts w:hint="eastAsia"/>
          <w:b/>
          <w:bCs/>
          <w:color w:val="000000" w:themeColor="text1"/>
          <w:szCs w:val="28"/>
          <w14:textFill>
            <w14:solidFill>
              <w14:schemeClr w14:val="tx1"/>
            </w14:solidFill>
          </w14:textFill>
        </w:rPr>
        <w:t>四川省成都市顺城大街308号冠城广场1</w:t>
      </w:r>
      <w:r>
        <w:rPr>
          <w:rFonts w:hint="eastAsia"/>
          <w:b/>
          <w:bCs/>
          <w:color w:val="000000" w:themeColor="text1"/>
          <w:szCs w:val="28"/>
          <w:lang w:val="en-US" w:eastAsia="zh-CN"/>
          <w14:textFill>
            <w14:solidFill>
              <w14:schemeClr w14:val="tx1"/>
            </w14:solidFill>
          </w14:textFill>
        </w:rPr>
        <w:t>9</w:t>
      </w:r>
      <w:r>
        <w:rPr>
          <w:rFonts w:hint="eastAsia"/>
          <w:b/>
          <w:bCs/>
          <w:color w:val="000000" w:themeColor="text1"/>
          <w:szCs w:val="28"/>
          <w14:textFill>
            <w14:solidFill>
              <w14:schemeClr w14:val="tx1"/>
            </w14:solidFill>
          </w14:textFill>
        </w:rPr>
        <w:t>楼（</w:t>
      </w:r>
      <w:r>
        <w:rPr>
          <w:rFonts w:hint="eastAsia"/>
          <w:color w:val="000000" w:themeColor="text1"/>
          <w14:textFill>
            <w14:solidFill>
              <w14:schemeClr w14:val="tx1"/>
            </w14:solidFill>
          </w14:textFill>
        </w:rPr>
        <w:t>成都创源国际货运代理有限公司</w:t>
      </w:r>
      <w:r>
        <w:rPr>
          <w:rFonts w:hint="eastAsia"/>
          <w:b/>
          <w:bCs/>
          <w:color w:val="000000" w:themeColor="text1"/>
          <w:szCs w:val="28"/>
          <w14:textFill>
            <w14:solidFill>
              <w14:schemeClr w14:val="tx1"/>
            </w14:solidFill>
          </w14:textFill>
        </w:rPr>
        <w:t>）</w:t>
      </w:r>
    </w:p>
    <w:p>
      <w:pPr>
        <w:ind w:firstLine="482"/>
        <w:rPr>
          <w:b/>
          <w:color w:val="000000" w:themeColor="text1"/>
          <w14:textFill>
            <w14:solidFill>
              <w14:schemeClr w14:val="tx1"/>
            </w14:solidFill>
          </w14:textFill>
        </w:rPr>
      </w:pPr>
      <w:r>
        <w:rPr>
          <w:rFonts w:hint="eastAsia"/>
          <w:b/>
          <w:color w:val="000000" w:themeColor="text1"/>
          <w:szCs w:val="28"/>
          <w14:textFill>
            <w14:solidFill>
              <w14:schemeClr w14:val="tx1"/>
            </w14:solidFill>
          </w14:textFill>
        </w:rPr>
        <w:t>十、</w:t>
      </w:r>
      <w:r>
        <w:rPr>
          <w:rFonts w:hint="eastAsia"/>
          <w:b/>
          <w:color w:val="000000" w:themeColor="text1"/>
          <w14:textFill>
            <w14:solidFill>
              <w14:schemeClr w14:val="tx1"/>
            </w14:solidFill>
          </w14:textFill>
        </w:rPr>
        <w:t>联系方式</w:t>
      </w:r>
    </w:p>
    <w:p>
      <w:pPr>
        <w:ind w:firstLine="482"/>
        <w:rPr>
          <w:color w:val="000000" w:themeColor="text1"/>
          <w14:textFill>
            <w14:solidFill>
              <w14:schemeClr w14:val="tx1"/>
            </w14:solidFill>
          </w14:textFill>
        </w:rPr>
      </w:pPr>
      <w:r>
        <w:rPr>
          <w:rFonts w:hint="eastAsia"/>
          <w:b/>
          <w:color w:val="000000" w:themeColor="text1"/>
          <w14:textFill>
            <w14:solidFill>
              <w14:schemeClr w14:val="tx1"/>
            </w14:solidFill>
          </w14:textFill>
        </w:rPr>
        <w:t>招标人：</w:t>
      </w:r>
      <w:r>
        <w:rPr>
          <w:rFonts w:hint="eastAsia"/>
          <w:color w:val="000000" w:themeColor="text1"/>
          <w14:textFill>
            <w14:solidFill>
              <w14:schemeClr w14:val="tx1"/>
            </w14:solidFill>
          </w14:textFill>
        </w:rPr>
        <w:t>成都创源国际货运代理有限公司</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联 系 人：张女士</w:t>
      </w:r>
      <w:bookmarkStart w:id="172" w:name="_GoBack"/>
      <w:bookmarkEnd w:id="172"/>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联系电话：</w:t>
      </w:r>
      <w:r>
        <w:rPr>
          <w:rFonts w:hint="eastAsia" w:ascii="宋体" w:hAnsi="宋体"/>
          <w:b/>
          <w:bCs/>
          <w:color w:val="000000" w:themeColor="text1"/>
          <w14:textFill>
            <w14:solidFill>
              <w14:schemeClr w14:val="tx1"/>
            </w14:solidFill>
          </w14:textFill>
        </w:rPr>
        <w:t>15608002456</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联系地址：</w:t>
      </w:r>
      <w:r>
        <w:rPr>
          <w:rFonts w:hint="eastAsia"/>
          <w:bCs/>
          <w:color w:val="000000" w:themeColor="text1"/>
          <w:szCs w:val="28"/>
          <w14:textFill>
            <w14:solidFill>
              <w14:schemeClr w14:val="tx1"/>
            </w14:solidFill>
          </w14:textFill>
        </w:rPr>
        <w:t>四川省成都市顺城大街308号冠城广场17楼</w:t>
      </w:r>
    </w:p>
    <w:p>
      <w:pPr>
        <w:spacing w:line="420" w:lineRule="exact"/>
        <w:ind w:firstLine="482"/>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咨询项目内容，招标文件内容等相关问题请拨打：15608002456</w:t>
      </w:r>
    </w:p>
    <w:p>
      <w:pPr>
        <w:ind w:firstLine="0" w:firstLineChars="0"/>
        <w:rPr>
          <w:rFonts w:ascii="宋体" w:hAnsi="宋体"/>
          <w:b/>
          <w:bCs/>
          <w:color w:val="000000" w:themeColor="text1"/>
          <w14:textFill>
            <w14:solidFill>
              <w14:schemeClr w14:val="tx1"/>
            </w14:solidFill>
          </w14:textFill>
        </w:rPr>
      </w:pPr>
      <w:bookmarkStart w:id="16" w:name="_Toc213396945"/>
      <w:bookmarkStart w:id="17" w:name="_Toc213496267"/>
      <w:bookmarkStart w:id="18" w:name="_Toc217446031"/>
      <w:bookmarkStart w:id="19" w:name="_Toc213396759"/>
      <w:bookmarkStart w:id="20" w:name="_Toc213397009"/>
    </w:p>
    <w:p>
      <w:pPr>
        <w:pStyle w:val="2"/>
        <w:keepNext w:val="0"/>
        <w:keepLines w:val="0"/>
        <w:spacing w:before="0" w:after="0"/>
        <w:rPr>
          <w:color w:val="000000" w:themeColor="text1"/>
          <w:sz w:val="36"/>
          <w:szCs w:val="36"/>
          <w14:textFill>
            <w14:solidFill>
              <w14:schemeClr w14:val="tx1"/>
            </w14:solidFill>
          </w14:textFill>
        </w:rPr>
      </w:pPr>
      <w:r>
        <w:rPr>
          <w:color w:val="000000" w:themeColor="text1"/>
          <w:sz w:val="36"/>
          <w:szCs w:val="36"/>
          <w14:textFill>
            <w14:solidFill>
              <w14:schemeClr w14:val="tx1"/>
            </w14:solidFill>
          </w14:textFill>
        </w:rPr>
        <w:br w:type="page"/>
      </w:r>
      <w:bookmarkStart w:id="21" w:name="_Toc96446217"/>
      <w:r>
        <w:rPr>
          <w:rFonts w:hint="eastAsia" w:ascii="宋体" w:hAnsi="Arial"/>
          <w:bCs w:val="0"/>
          <w:color w:val="000000" w:themeColor="text1"/>
          <w:kern w:val="2"/>
          <w:sz w:val="36"/>
          <w:szCs w:val="32"/>
          <w14:textFill>
            <w14:solidFill>
              <w14:schemeClr w14:val="tx1"/>
            </w14:solidFill>
          </w14:textFill>
        </w:rPr>
        <w:t>第二章  投标须知</w:t>
      </w:r>
      <w:bookmarkEnd w:id="16"/>
      <w:bookmarkEnd w:id="17"/>
      <w:bookmarkEnd w:id="18"/>
      <w:bookmarkEnd w:id="19"/>
      <w:bookmarkEnd w:id="20"/>
      <w:bookmarkEnd w:id="21"/>
    </w:p>
    <w:p>
      <w:pPr>
        <w:pStyle w:val="3"/>
        <w:keepNext w:val="0"/>
        <w:keepLines w:val="0"/>
        <w:spacing w:before="0" w:after="0"/>
        <w:ind w:firstLine="0" w:firstLineChars="0"/>
        <w:rPr>
          <w:color w:val="000000" w:themeColor="text1"/>
          <w14:textFill>
            <w14:solidFill>
              <w14:schemeClr w14:val="tx1"/>
            </w14:solidFill>
          </w14:textFill>
        </w:rPr>
      </w:pPr>
      <w:bookmarkStart w:id="22" w:name="_Toc96446218"/>
      <w:r>
        <w:rPr>
          <w:rFonts w:hint="eastAsia"/>
          <w:color w:val="000000" w:themeColor="text1"/>
          <w14:textFill>
            <w14:solidFill>
              <w14:schemeClr w14:val="tx1"/>
            </w14:solidFill>
          </w14:textFill>
        </w:rPr>
        <w:t>一、投标人须知附表</w:t>
      </w:r>
      <w:bookmarkEnd w:id="22"/>
    </w:p>
    <w:tbl>
      <w:tblPr>
        <w:tblStyle w:val="34"/>
        <w:tblW w:w="10240"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1939"/>
        <w:gridCol w:w="7288"/>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69"/>
              <w:ind w:left="9"/>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序号</w:t>
            </w:r>
            <w:r>
              <w:rPr>
                <w:color w:val="000000" w:themeColor="text1"/>
                <w:lang w:val="zh-CN"/>
                <w14:textFill>
                  <w14:solidFill>
                    <w14:schemeClr w14:val="tx1"/>
                  </w14:solidFill>
                </w14:textFill>
              </w:rPr>
              <w:t xml:space="preserve"> </w:t>
            </w:r>
          </w:p>
        </w:tc>
        <w:tc>
          <w:tcPr>
            <w:tcW w:w="1939" w:type="dxa"/>
            <w:vAlign w:val="center"/>
          </w:tcPr>
          <w:p>
            <w:pPr>
              <w:pStyle w:val="69"/>
              <w:ind w:left="38"/>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应知事项</w:t>
            </w:r>
            <w:r>
              <w:rPr>
                <w:color w:val="000000" w:themeColor="text1"/>
                <w:lang w:val="zh-CN"/>
                <w14:textFill>
                  <w14:solidFill>
                    <w14:schemeClr w14:val="tx1"/>
                  </w14:solidFill>
                </w14:textFill>
              </w:rPr>
              <w:t xml:space="preserve"> </w:t>
            </w:r>
          </w:p>
        </w:tc>
        <w:tc>
          <w:tcPr>
            <w:tcW w:w="7288" w:type="dxa"/>
            <w:vAlign w:val="center"/>
          </w:tcPr>
          <w:p>
            <w:pPr>
              <w:pStyle w:val="69"/>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67" w:hRule="atLeast"/>
          <w:jc w:val="center"/>
        </w:trPr>
        <w:tc>
          <w:tcPr>
            <w:tcW w:w="1013" w:type="dxa"/>
            <w:vAlign w:val="center"/>
          </w:tcPr>
          <w:p>
            <w:pPr>
              <w:pStyle w:val="69"/>
              <w:spacing w:line="440" w:lineRule="exact"/>
              <w:ind w:right="230"/>
              <w:jc w:val="center"/>
              <w:rPr>
                <w:rFonts w:cs="Courier New"/>
                <w:color w:val="000000" w:themeColor="text1"/>
                <w:lang w:val="zh-CN"/>
                <w14:textFill>
                  <w14:solidFill>
                    <w14:schemeClr w14:val="tx1"/>
                  </w14:solidFill>
                </w14:textFill>
              </w:rPr>
            </w:pPr>
            <w:r>
              <w:rPr>
                <w:rFonts w:hint="eastAsia" w:cs="Courier New"/>
                <w:color w:val="000000" w:themeColor="text1"/>
                <w:lang w:val="zh-CN"/>
                <w14:textFill>
                  <w14:solidFill>
                    <w14:schemeClr w14:val="tx1"/>
                  </w14:solidFill>
                </w14:textFill>
              </w:rPr>
              <w:t>1</w:t>
            </w:r>
          </w:p>
        </w:tc>
        <w:tc>
          <w:tcPr>
            <w:tcW w:w="1939" w:type="dxa"/>
            <w:vAlign w:val="center"/>
          </w:tcPr>
          <w:p>
            <w:pPr>
              <w:pStyle w:val="69"/>
              <w:spacing w:line="440" w:lineRule="exact"/>
              <w:ind w:left="38"/>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确定邀请招标的投标人数量和方式</w:t>
            </w:r>
          </w:p>
        </w:tc>
        <w:tc>
          <w:tcPr>
            <w:tcW w:w="7288" w:type="dxa"/>
            <w:vAlign w:val="center"/>
          </w:tcPr>
          <w:p>
            <w:pPr>
              <w:pStyle w:val="69"/>
              <w:spacing w:line="440" w:lineRule="exact"/>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本次招标采取公告的方式邀请参加招标的投标人。投标人数量不限。</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77" w:hRule="atLeast"/>
          <w:jc w:val="center"/>
        </w:trPr>
        <w:tc>
          <w:tcPr>
            <w:tcW w:w="1013" w:type="dxa"/>
            <w:vAlign w:val="center"/>
          </w:tcPr>
          <w:p>
            <w:pPr>
              <w:pStyle w:val="69"/>
              <w:spacing w:line="440" w:lineRule="exact"/>
              <w:ind w:right="230"/>
              <w:jc w:val="center"/>
              <w:rPr>
                <w:rFonts w:cs="Courier New"/>
                <w:color w:val="000000" w:themeColor="text1"/>
                <w:lang w:val="zh-CN"/>
                <w14:textFill>
                  <w14:solidFill>
                    <w14:schemeClr w14:val="tx1"/>
                  </w14:solidFill>
                </w14:textFill>
              </w:rPr>
            </w:pPr>
            <w:r>
              <w:rPr>
                <w:rFonts w:hint="eastAsia" w:cs="Courier New"/>
                <w:color w:val="000000" w:themeColor="text1"/>
                <w:lang w:val="zh-CN"/>
                <w14:textFill>
                  <w14:solidFill>
                    <w14:schemeClr w14:val="tx1"/>
                  </w14:solidFill>
                </w14:textFill>
              </w:rPr>
              <w:t>2</w:t>
            </w:r>
          </w:p>
        </w:tc>
        <w:tc>
          <w:tcPr>
            <w:tcW w:w="1939" w:type="dxa"/>
            <w:vAlign w:val="center"/>
          </w:tcPr>
          <w:p>
            <w:pPr>
              <w:pStyle w:val="69"/>
              <w:spacing w:line="440" w:lineRule="exact"/>
              <w:ind w:left="38"/>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最高限价</w:t>
            </w:r>
          </w:p>
          <w:p>
            <w:pPr>
              <w:pStyle w:val="69"/>
              <w:spacing w:line="440" w:lineRule="exact"/>
              <w:ind w:left="38"/>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（实质性要求）</w:t>
            </w:r>
          </w:p>
        </w:tc>
        <w:tc>
          <w:tcPr>
            <w:tcW w:w="7288" w:type="dxa"/>
            <w:vAlign w:val="center"/>
          </w:tcPr>
          <w:p>
            <w:pPr>
              <w:ind w:firstLine="0" w:firstLineChars="0"/>
              <w:jc w:val="center"/>
              <w:rPr>
                <w:b/>
                <w:bCs/>
                <w:color w:val="000000" w:themeColor="text1"/>
                <w:lang w:val="zh-CN"/>
                <w14:textFill>
                  <w14:solidFill>
                    <w14:schemeClr w14:val="tx1"/>
                  </w14:solidFill>
                </w14:textFill>
              </w:rPr>
            </w:pPr>
            <w:r>
              <w:rPr>
                <w:rFonts w:hint="eastAsia" w:ascii="宋体" w:hAnsi="宋体" w:cs="宋体"/>
                <w:b/>
                <w:color w:val="000000" w:themeColor="text1"/>
                <w14:textFill>
                  <w14:solidFill>
                    <w14:schemeClr w14:val="tx1"/>
                  </w14:solidFill>
                </w14:textFill>
              </w:rPr>
              <w:t>机车取送费</w:t>
            </w:r>
            <w:r>
              <w:rPr>
                <w:rFonts w:hint="eastAsia"/>
                <w:b/>
                <w:bCs/>
                <w:color w:val="000000" w:themeColor="text1"/>
                <w:lang w:val="zh-CN"/>
                <w14:textFill>
                  <w14:solidFill>
                    <w14:schemeClr w14:val="tx1"/>
                  </w14:solidFill>
                </w14:textFill>
              </w:rPr>
              <w:t>最高单价限价：</w:t>
            </w:r>
          </w:p>
          <w:p>
            <w:pPr>
              <w:ind w:firstLine="0" w:firstLineChars="0"/>
              <w:jc w:val="center"/>
              <w:rPr>
                <w:rFonts w:ascii="宋体" w:hAnsi="宋体" w:cs="宋体"/>
                <w:color w:val="000000" w:themeColor="text1"/>
                <w14:textFill>
                  <w14:solidFill>
                    <w14:schemeClr w14:val="tx1"/>
                  </w14:solidFill>
                </w14:textFill>
              </w:rPr>
            </w:pPr>
            <w:r>
              <w:rPr>
                <w:rFonts w:hint="eastAsia"/>
                <w:b/>
                <w:bCs/>
                <w:color w:val="000000" w:themeColor="text1"/>
                <w:lang w:val="zh-CN"/>
                <w14:textFill>
                  <w14:solidFill>
                    <w14:schemeClr w14:val="tx1"/>
                  </w14:solidFill>
                </w14:textFill>
              </w:rPr>
              <w:t>集装箱运输到达90元（</w:t>
            </w:r>
            <w:r>
              <w:rPr>
                <w:rFonts w:hint="eastAsia"/>
                <w:b/>
                <w:bCs/>
                <w:color w:val="000000" w:themeColor="text1"/>
                <w14:textFill>
                  <w14:solidFill>
                    <w14:schemeClr w14:val="tx1"/>
                  </w14:solidFill>
                </w14:textFill>
              </w:rPr>
              <w:t>大写：玖拾元整</w:t>
            </w:r>
            <w:r>
              <w:rPr>
                <w:rFonts w:hint="eastAsia"/>
                <w:b/>
                <w:bCs/>
                <w:color w:val="000000" w:themeColor="text1"/>
                <w:lang w:val="zh-CN"/>
                <w14:textFill>
                  <w14:solidFill>
                    <w14:schemeClr w14:val="tx1"/>
                  </w14:solidFill>
                </w14:textFill>
              </w:rPr>
              <w:t>）/标箱</w:t>
            </w:r>
            <w:r>
              <w:rPr>
                <w:rFonts w:hint="eastAsia"/>
                <w:color w:val="000000" w:themeColor="text1"/>
                <w:lang w:val="zh-CN"/>
                <w14:textFill>
                  <w14:solidFill>
                    <w14:schemeClr w14:val="tx1"/>
                  </w14:solidFill>
                </w14:textFill>
              </w:rPr>
              <w:t>；</w:t>
            </w:r>
          </w:p>
          <w:p>
            <w:pPr>
              <w:pStyle w:val="69"/>
              <w:spacing w:line="440" w:lineRule="exact"/>
              <w:ind w:firstLine="964" w:firstLineChars="400"/>
              <w:jc w:val="both"/>
              <w:rPr>
                <w:color w:val="000000" w:themeColor="text1"/>
                <w:lang w:val="zh-CN"/>
                <w14:textFill>
                  <w14:solidFill>
                    <w14:schemeClr w14:val="tx1"/>
                  </w14:solidFill>
                </w14:textFill>
              </w:rPr>
            </w:pPr>
            <w:r>
              <w:rPr>
                <w:rFonts w:hint="eastAsia"/>
                <w:b/>
                <w:bCs/>
                <w:color w:val="000000" w:themeColor="text1"/>
                <w:lang w:val="zh-CN"/>
                <w14:textFill>
                  <w14:solidFill>
                    <w14:schemeClr w14:val="tx1"/>
                  </w14:solidFill>
                </w14:textFill>
              </w:rPr>
              <w:t>集装箱运输发运100元（</w:t>
            </w:r>
            <w:r>
              <w:rPr>
                <w:rFonts w:hint="eastAsia"/>
                <w:b/>
                <w:bCs/>
                <w:color w:val="000000" w:themeColor="text1"/>
                <w14:textFill>
                  <w14:solidFill>
                    <w14:schemeClr w14:val="tx1"/>
                  </w14:solidFill>
                </w14:textFill>
              </w:rPr>
              <w:t>大写：壹佰元整</w:t>
            </w:r>
            <w:r>
              <w:rPr>
                <w:rFonts w:hint="eastAsia"/>
                <w:b/>
                <w:bCs/>
                <w:color w:val="000000" w:themeColor="text1"/>
                <w:lang w:val="zh-CN"/>
                <w14:textFill>
                  <w14:solidFill>
                    <w14:schemeClr w14:val="tx1"/>
                  </w14:solidFill>
                </w14:textFill>
              </w:rPr>
              <w:t>）/标箱；</w:t>
            </w:r>
          </w:p>
          <w:p>
            <w:pPr>
              <w:pStyle w:val="69"/>
              <w:spacing w:line="440" w:lineRule="exact"/>
              <w:ind w:firstLine="240" w:firstLineChars="100"/>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 xml:space="preserve">（注：标箱为标准20英尺集装箱） </w:t>
            </w:r>
          </w:p>
          <w:p>
            <w:pPr>
              <w:pStyle w:val="69"/>
              <w:spacing w:line="440" w:lineRule="exact"/>
              <w:ind w:firstLine="240" w:firstLineChars="100"/>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超过最高限价的报价无效。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37" w:hRule="atLeast"/>
          <w:jc w:val="center"/>
        </w:trPr>
        <w:tc>
          <w:tcPr>
            <w:tcW w:w="1013" w:type="dxa"/>
            <w:vAlign w:val="center"/>
          </w:tcPr>
          <w:p>
            <w:pPr>
              <w:pStyle w:val="69"/>
              <w:spacing w:line="440" w:lineRule="exact"/>
              <w:ind w:right="230"/>
              <w:jc w:val="center"/>
              <w:rPr>
                <w:rFonts w:cs="Courier New"/>
                <w:color w:val="000000" w:themeColor="text1"/>
                <w:lang w:val="zh-CN"/>
                <w14:textFill>
                  <w14:solidFill>
                    <w14:schemeClr w14:val="tx1"/>
                  </w14:solidFill>
                </w14:textFill>
              </w:rPr>
            </w:pPr>
            <w:r>
              <w:rPr>
                <w:rFonts w:hint="eastAsia" w:cs="Courier New"/>
                <w:color w:val="000000" w:themeColor="text1"/>
                <w:lang w:val="zh-CN"/>
                <w14:textFill>
                  <w14:solidFill>
                    <w14:schemeClr w14:val="tx1"/>
                  </w14:solidFill>
                </w14:textFill>
              </w:rPr>
              <w:t>3</w:t>
            </w:r>
          </w:p>
        </w:tc>
        <w:tc>
          <w:tcPr>
            <w:tcW w:w="1939" w:type="dxa"/>
            <w:vAlign w:val="center"/>
          </w:tcPr>
          <w:p>
            <w:pPr>
              <w:pStyle w:val="69"/>
              <w:spacing w:line="440" w:lineRule="exact"/>
              <w:ind w:left="38"/>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联合体</w:t>
            </w:r>
          </w:p>
        </w:tc>
        <w:tc>
          <w:tcPr>
            <w:tcW w:w="7288" w:type="dxa"/>
            <w:vAlign w:val="center"/>
          </w:tcPr>
          <w:p>
            <w:pPr>
              <w:pStyle w:val="69"/>
              <w:spacing w:line="440" w:lineRule="exact"/>
              <w:ind w:firstLine="240" w:firstLineChars="100"/>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不</w:t>
            </w:r>
            <w:r>
              <w:rPr>
                <w:rFonts w:hint="eastAsia"/>
                <w:color w:val="000000" w:themeColor="text1"/>
                <w14:textFill>
                  <w14:solidFill>
                    <w14:schemeClr w14:val="tx1"/>
                  </w14:solidFill>
                </w14:textFill>
              </w:rPr>
              <w:t>接受</w:t>
            </w:r>
            <w:r>
              <w:rPr>
                <w:rFonts w:hint="eastAsia"/>
                <w:color w:val="000000" w:themeColor="text1"/>
                <w:lang w:val="zh-CN"/>
                <w14:textFill>
                  <w14:solidFill>
                    <w14:schemeClr w14:val="tx1"/>
                  </w14:solidFill>
                </w14:textFill>
              </w:rPr>
              <w:t>联合体</w:t>
            </w:r>
            <w:r>
              <w:rPr>
                <w:rFonts w:hint="eastAsia"/>
                <w:color w:val="000000" w:themeColor="text1"/>
                <w14:textFill>
                  <w14:solidFill>
                    <w14:schemeClr w14:val="tx1"/>
                  </w14:solidFill>
                </w14:textFill>
              </w:rPr>
              <w:t>投</w:t>
            </w:r>
            <w:r>
              <w:rPr>
                <w:rFonts w:hint="eastAsia"/>
                <w:color w:val="000000" w:themeColor="text1"/>
                <w:lang w:val="zh-CN"/>
                <w14:textFill>
                  <w14:solidFill>
                    <w14:schemeClr w14:val="tx1"/>
                  </w14:solidFill>
                </w14:textFill>
              </w:rPr>
              <w:t>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1013" w:type="dxa"/>
            <w:vAlign w:val="center"/>
          </w:tcPr>
          <w:p>
            <w:pPr>
              <w:pStyle w:val="69"/>
              <w:spacing w:line="440" w:lineRule="exact"/>
              <w:ind w:right="230"/>
              <w:jc w:val="center"/>
              <w:rPr>
                <w:rFonts w:cs="Courier New"/>
                <w:color w:val="000000" w:themeColor="text1"/>
                <w:lang w:val="zh-CN"/>
                <w14:textFill>
                  <w14:solidFill>
                    <w14:schemeClr w14:val="tx1"/>
                  </w14:solidFill>
                </w14:textFill>
              </w:rPr>
            </w:pPr>
            <w:r>
              <w:rPr>
                <w:rFonts w:hint="eastAsia" w:cs="Courier New"/>
                <w:color w:val="000000" w:themeColor="text1"/>
                <w:lang w:val="zh-CN"/>
                <w14:textFill>
                  <w14:solidFill>
                    <w14:schemeClr w14:val="tx1"/>
                  </w14:solidFill>
                </w14:textFill>
              </w:rPr>
              <w:t>4</w:t>
            </w:r>
          </w:p>
        </w:tc>
        <w:tc>
          <w:tcPr>
            <w:tcW w:w="1939" w:type="dxa"/>
            <w:vAlign w:val="center"/>
          </w:tcPr>
          <w:p>
            <w:pPr>
              <w:pStyle w:val="69"/>
              <w:spacing w:line="440" w:lineRule="exact"/>
              <w:ind w:left="38"/>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低于成本价</w:t>
            </w:r>
          </w:p>
          <w:p>
            <w:pPr>
              <w:pStyle w:val="69"/>
              <w:spacing w:line="440" w:lineRule="exact"/>
              <w:ind w:left="38"/>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不正当竞争预防措施</w:t>
            </w:r>
          </w:p>
          <w:p>
            <w:pPr>
              <w:pStyle w:val="69"/>
              <w:spacing w:line="440" w:lineRule="exact"/>
              <w:ind w:left="38"/>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（实质性要求）</w:t>
            </w:r>
          </w:p>
        </w:tc>
        <w:tc>
          <w:tcPr>
            <w:tcW w:w="7288" w:type="dxa"/>
            <w:vAlign w:val="center"/>
          </w:tcPr>
          <w:p>
            <w:pPr>
              <w:pStyle w:val="69"/>
              <w:spacing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在评审过程中，投标人最终报价有可能影响</w:t>
            </w:r>
            <w:r>
              <w:rPr>
                <w:rFonts w:hint="eastAsia"/>
                <w:color w:val="000000" w:themeColor="text1"/>
                <w14:textFill>
                  <w14:solidFill>
                    <w14:schemeClr w14:val="tx1"/>
                  </w14:solidFill>
                </w14:textFill>
              </w:rPr>
              <w:t>服务</w:t>
            </w:r>
            <w:r>
              <w:rPr>
                <w:color w:val="000000" w:themeColor="text1"/>
                <w14:textFill>
                  <w14:solidFill>
                    <w14:schemeClr w14:val="tx1"/>
                  </w14:solidFill>
                </w14:textFill>
              </w:rPr>
              <w:t>质量或者不能诚信履约的，</w:t>
            </w:r>
            <w:r>
              <w:rPr>
                <w:rFonts w:hint="eastAsia"/>
                <w:color w:val="000000" w:themeColor="text1"/>
                <w14:textFill>
                  <w14:solidFill>
                    <w14:schemeClr w14:val="tx1"/>
                  </w14:solidFill>
                </w14:textFill>
              </w:rPr>
              <w:t>评审小组</w:t>
            </w:r>
            <w:r>
              <w:rPr>
                <w:color w:val="000000" w:themeColor="text1"/>
                <w14:textFill>
                  <w14:solidFill>
                    <w14:schemeClr w14:val="tx1"/>
                  </w14:solidFill>
                </w14:textFill>
              </w:rPr>
              <w:t>可以要求其在现场合理的时间内提供成本构成说明，并提交相关证明材料。投标人不能合理说明或者不能提供相关证明的，由</w:t>
            </w:r>
            <w:r>
              <w:rPr>
                <w:rFonts w:hint="eastAsia"/>
                <w:color w:val="000000" w:themeColor="text1"/>
                <w14:textFill>
                  <w14:solidFill>
                    <w14:schemeClr w14:val="tx1"/>
                  </w14:solidFill>
                </w14:textFill>
              </w:rPr>
              <w:t>评审小组</w:t>
            </w:r>
            <w:r>
              <w:rPr>
                <w:color w:val="000000" w:themeColor="text1"/>
                <w14:textFill>
                  <w14:solidFill>
                    <w14:schemeClr w14:val="tx1"/>
                  </w14:solidFill>
                </w14:textFill>
              </w:rPr>
              <w:t>认定该投标人以低于成本报价竞标，其</w:t>
            </w:r>
            <w:r>
              <w:rPr>
                <w:rFonts w:hint="eastAsia"/>
                <w:color w:val="000000" w:themeColor="text1"/>
                <w14:textFill>
                  <w14:solidFill>
                    <w14:schemeClr w14:val="tx1"/>
                  </w14:solidFill>
                </w14:textFill>
              </w:rPr>
              <w:t>响应</w:t>
            </w:r>
            <w:r>
              <w:rPr>
                <w:color w:val="000000" w:themeColor="text1"/>
                <w14:textFill>
                  <w14:solidFill>
                    <w14:schemeClr w14:val="tx1"/>
                  </w14:solidFill>
                </w14:textFill>
              </w:rPr>
              <w:t>应作</w:t>
            </w:r>
            <w:r>
              <w:rPr>
                <w:rFonts w:hint="eastAsia"/>
                <w:color w:val="000000" w:themeColor="text1"/>
                <w14:textFill>
                  <w14:solidFill>
                    <w14:schemeClr w14:val="tx1"/>
                  </w14:solidFill>
                </w14:textFill>
              </w:rPr>
              <w:t>无效响应</w:t>
            </w:r>
            <w:r>
              <w:rPr>
                <w:color w:val="000000" w:themeColor="text1"/>
                <w14:textFill>
                  <w14:solidFill>
                    <w14:schemeClr w14:val="tx1"/>
                  </w14:solidFill>
                </w14:textFill>
              </w:rPr>
              <w:t>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57" w:hRule="atLeast"/>
          <w:jc w:val="center"/>
        </w:trPr>
        <w:tc>
          <w:tcPr>
            <w:tcW w:w="1013" w:type="dxa"/>
            <w:vAlign w:val="center"/>
          </w:tcPr>
          <w:p>
            <w:pPr>
              <w:pStyle w:val="69"/>
              <w:spacing w:line="440" w:lineRule="exact"/>
              <w:ind w:right="230"/>
              <w:jc w:val="center"/>
              <w:rPr>
                <w:rFonts w:cs="Courier New"/>
                <w:color w:val="000000" w:themeColor="text1"/>
                <w:lang w:val="zh-CN"/>
                <w14:textFill>
                  <w14:solidFill>
                    <w14:schemeClr w14:val="tx1"/>
                  </w14:solidFill>
                </w14:textFill>
              </w:rPr>
            </w:pPr>
            <w:r>
              <w:rPr>
                <w:rFonts w:hint="eastAsia" w:cs="Courier New"/>
                <w:color w:val="000000" w:themeColor="text1"/>
                <w:lang w:val="zh-CN"/>
                <w14:textFill>
                  <w14:solidFill>
                    <w14:schemeClr w14:val="tx1"/>
                  </w14:solidFill>
                </w14:textFill>
              </w:rPr>
              <w:t>5</w:t>
            </w:r>
          </w:p>
        </w:tc>
        <w:tc>
          <w:tcPr>
            <w:tcW w:w="1939" w:type="dxa"/>
            <w:vAlign w:val="center"/>
          </w:tcPr>
          <w:p>
            <w:pPr>
              <w:pStyle w:val="69"/>
              <w:spacing w:line="440" w:lineRule="exact"/>
              <w:ind w:left="38"/>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招标情况公告</w:t>
            </w:r>
          </w:p>
        </w:tc>
        <w:tc>
          <w:tcPr>
            <w:tcW w:w="7288" w:type="dxa"/>
            <w:vAlign w:val="center"/>
          </w:tcPr>
          <w:p>
            <w:pPr>
              <w:spacing w:after="120" w:line="360" w:lineRule="auto"/>
              <w:ind w:left="1680" w:leftChars="200" w:hanging="1200" w:hangingChars="500"/>
              <w:rPr>
                <w:rFonts w:ascii="宋体" w:hAnsi="宋体"/>
                <w:color w:val="000000" w:themeColor="text1"/>
                <w14:textFill>
                  <w14:solidFill>
                    <w14:schemeClr w14:val="tx1"/>
                  </w14:solidFill>
                </w14:textFill>
              </w:rPr>
            </w:pPr>
            <w:r>
              <w:rPr>
                <w:rFonts w:hint="eastAsia"/>
                <w:color w:val="000000" w:themeColor="text1"/>
                <w:lang w:val="zh-CN"/>
                <w14:textFill>
                  <w14:solidFill>
                    <w14:schemeClr w14:val="tx1"/>
                  </w14:solidFill>
                </w14:textFill>
              </w:rPr>
              <w:t>投标人招标结果在</w:t>
            </w:r>
            <w:r>
              <w:rPr>
                <w:rFonts w:hint="eastAsia" w:ascii="宋体" w:hAnsi="宋体"/>
                <w:color w:val="000000" w:themeColor="text1"/>
                <w14:textFill>
                  <w14:solidFill>
                    <w14:schemeClr w14:val="tx1"/>
                  </w14:solidFill>
                </w14:textFill>
              </w:rPr>
              <w:t>西南联合产权交易所电子招采平台网站</w:t>
            </w:r>
          </w:p>
          <w:p>
            <w:pPr>
              <w:spacing w:after="120" w:line="360" w:lineRule="auto"/>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（https://www.swuee.com/#/purchase/index）</w:t>
            </w:r>
            <w:r>
              <w:rPr>
                <w:rFonts w:hint="eastAsia"/>
                <w:color w:val="000000" w:themeColor="text1"/>
                <w:lang w:val="zh-CN"/>
                <w14:textFill>
                  <w14:solidFill>
                    <w14:schemeClr w14:val="tx1"/>
                  </w14:solidFill>
                </w14:textFill>
              </w:rPr>
              <w:t>上予以公告</w:t>
            </w:r>
            <w:r>
              <w:rPr>
                <w:rFonts w:hint="eastAsia"/>
                <w:b/>
                <w:bCs/>
                <w:color w:val="000000" w:themeColor="text1"/>
                <w14:textFill>
                  <w14:solidFill>
                    <w14:schemeClr w14:val="tx1"/>
                  </w14:solidFill>
                </w14:textFill>
              </w:rPr>
              <w:t>（</w:t>
            </w:r>
            <w:r>
              <w:rPr>
                <w:rFonts w:hint="eastAsia"/>
                <w:b/>
                <w:bCs/>
                <w:color w:val="000000" w:themeColor="text1"/>
                <w:lang w:val="zh-CN"/>
                <w14:textFill>
                  <w14:solidFill>
                    <w14:schemeClr w14:val="tx1"/>
                  </w14:solidFill>
                </w14:textFill>
              </w:rPr>
              <w:t>若招标人确认成交投标人</w:t>
            </w:r>
            <w:r>
              <w:rPr>
                <w:rFonts w:hint="eastAsia"/>
                <w:b/>
                <w:bCs/>
                <w:color w:val="000000" w:themeColor="text1"/>
                <w14:textFill>
                  <w14:solidFill>
                    <w14:schemeClr w14:val="tx1"/>
                  </w14:solidFill>
                </w14:textFill>
              </w:rPr>
              <w:t>，</w:t>
            </w:r>
            <w:r>
              <w:rPr>
                <w:rFonts w:hint="eastAsia"/>
                <w:b/>
                <w:bCs/>
                <w:color w:val="000000" w:themeColor="text1"/>
                <w:lang w:val="zh-CN"/>
                <w14:textFill>
                  <w14:solidFill>
                    <w14:schemeClr w14:val="tx1"/>
                  </w14:solidFill>
                </w14:textFill>
              </w:rPr>
              <w:t>则增加成交投标人</w:t>
            </w:r>
            <w:r>
              <w:rPr>
                <w:rFonts w:hint="eastAsia"/>
                <w:b/>
                <w:bCs/>
                <w:color w:val="000000" w:themeColor="text1"/>
                <w14:textFill>
                  <w14:solidFill>
                    <w14:schemeClr w14:val="tx1"/>
                  </w14:solidFill>
                </w14:textFill>
              </w:rPr>
              <w:t>结果</w:t>
            </w:r>
            <w:r>
              <w:rPr>
                <w:rFonts w:hint="eastAsia"/>
                <w:b/>
                <w:bCs/>
                <w:color w:val="000000" w:themeColor="text1"/>
                <w:lang w:val="zh-CN"/>
                <w14:textFill>
                  <w14:solidFill>
                    <w14:schemeClr w14:val="tx1"/>
                  </w14:solidFill>
                </w14:textFill>
              </w:rPr>
              <w:t>公示</w:t>
            </w:r>
            <w:r>
              <w:rPr>
                <w:rFonts w:hint="eastAsia"/>
                <w:b/>
                <w:bCs/>
                <w:color w:val="000000" w:themeColor="text1"/>
                <w14:textFill>
                  <w14:solidFill>
                    <w14:schemeClr w14:val="tx1"/>
                  </w14:solidFill>
                </w14:textFill>
              </w:rPr>
              <w:t>，</w:t>
            </w:r>
            <w:r>
              <w:rPr>
                <w:rFonts w:hint="eastAsia"/>
                <w:b/>
                <w:bCs/>
                <w:color w:val="000000" w:themeColor="text1"/>
                <w:lang w:val="zh-CN"/>
                <w14:textFill>
                  <w14:solidFill>
                    <w14:schemeClr w14:val="tx1"/>
                  </w14:solidFill>
                </w14:textFill>
              </w:rPr>
              <w:t>公示期为</w:t>
            </w:r>
            <w:r>
              <w:rPr>
                <w:rFonts w:hint="eastAsia"/>
                <w:b/>
                <w:bCs/>
                <w:color w:val="000000" w:themeColor="text1"/>
                <w14:textFill>
                  <w14:solidFill>
                    <w14:schemeClr w14:val="tx1"/>
                  </w14:solidFill>
                </w14:textFill>
              </w:rPr>
              <w:t>1个工作日）</w:t>
            </w:r>
            <w:r>
              <w:rPr>
                <w:rFonts w:hint="eastAsia"/>
                <w:color w:val="000000" w:themeColor="text1"/>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1013" w:type="dxa"/>
            <w:vAlign w:val="center"/>
          </w:tcPr>
          <w:p>
            <w:pPr>
              <w:pStyle w:val="69"/>
              <w:spacing w:line="440" w:lineRule="exact"/>
              <w:ind w:right="230"/>
              <w:jc w:val="center"/>
              <w:rPr>
                <w:rFonts w:cs="Courier New"/>
                <w:color w:val="000000" w:themeColor="text1"/>
                <w:lang w:val="zh-CN"/>
                <w14:textFill>
                  <w14:solidFill>
                    <w14:schemeClr w14:val="tx1"/>
                  </w14:solidFill>
                </w14:textFill>
              </w:rPr>
            </w:pPr>
            <w:r>
              <w:rPr>
                <w:rFonts w:hint="eastAsia" w:cs="Courier New"/>
                <w:color w:val="000000" w:themeColor="text1"/>
                <w:lang w:val="zh-CN"/>
                <w14:textFill>
                  <w14:solidFill>
                    <w14:schemeClr w14:val="tx1"/>
                  </w14:solidFill>
                </w14:textFill>
              </w:rPr>
              <w:t>6</w:t>
            </w:r>
          </w:p>
        </w:tc>
        <w:tc>
          <w:tcPr>
            <w:tcW w:w="1939" w:type="dxa"/>
            <w:vAlign w:val="center"/>
          </w:tcPr>
          <w:p>
            <w:pPr>
              <w:pStyle w:val="69"/>
              <w:spacing w:line="440" w:lineRule="exact"/>
              <w:ind w:left="38"/>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投标保证金</w:t>
            </w:r>
          </w:p>
        </w:tc>
        <w:tc>
          <w:tcPr>
            <w:tcW w:w="7288" w:type="dxa"/>
            <w:vAlign w:val="center"/>
          </w:tcPr>
          <w:p>
            <w:pPr>
              <w:snapToGrid w:val="0"/>
              <w:spacing w:line="360" w:lineRule="auto"/>
              <w:ind w:right="46" w:rightChars="19"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金    额（人民币）：</w:t>
            </w:r>
            <w:r>
              <w:rPr>
                <w:rFonts w:hint="eastAsia" w:ascii="宋体" w:hAnsi="宋体"/>
                <w:color w:val="000000" w:themeColor="text1"/>
                <w:u w:val="single"/>
                <w14:textFill>
                  <w14:solidFill>
                    <w14:schemeClr w14:val="tx1"/>
                  </w14:solidFill>
                </w14:textFill>
              </w:rPr>
              <w:t xml:space="preserve"> 100000  </w:t>
            </w:r>
            <w:r>
              <w:rPr>
                <w:rFonts w:hint="eastAsia" w:ascii="宋体" w:hAnsi="宋体"/>
                <w:color w:val="000000" w:themeColor="text1"/>
                <w14:textFill>
                  <w14:solidFill>
                    <w14:schemeClr w14:val="tx1"/>
                  </w14:solidFill>
                </w14:textFill>
              </w:rPr>
              <w:t xml:space="preserve"> 元(大写：</w:t>
            </w:r>
            <w:r>
              <w:rPr>
                <w:rFonts w:hint="eastAsia" w:ascii="宋体" w:hAnsi="宋体"/>
                <w:color w:val="000000" w:themeColor="text1"/>
                <w:u w:val="single"/>
                <w14:textFill>
                  <w14:solidFill>
                    <w14:schemeClr w14:val="tx1"/>
                  </w14:solidFill>
                </w14:textFill>
              </w:rPr>
              <w:t xml:space="preserve">  拾万 </w:t>
            </w:r>
            <w:r>
              <w:rPr>
                <w:rFonts w:hint="eastAsia" w:ascii="宋体" w:hAnsi="宋体"/>
                <w:color w:val="000000" w:themeColor="text1"/>
                <w14:textFill>
                  <w14:solidFill>
                    <w14:schemeClr w14:val="tx1"/>
                  </w14:solidFill>
                </w14:textFill>
              </w:rPr>
              <w:t>元整)；</w:t>
            </w:r>
          </w:p>
          <w:p>
            <w:pPr>
              <w:snapToGrid w:val="0"/>
              <w:spacing w:line="360" w:lineRule="auto"/>
              <w:ind w:right="46" w:rightChars="19"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交款方式：通过投标人账户转账，交款账户名称和投标人名称必须一致，以到账时间为准。</w:t>
            </w:r>
          </w:p>
          <w:p>
            <w:pPr>
              <w:snapToGrid w:val="0"/>
              <w:spacing w:line="360" w:lineRule="auto"/>
              <w:ind w:right="46" w:rightChars="19"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保证金交纳截止时间：同响应文件递交截止时间（招标保证金的交纳以银行到账时间为准；超过此时限到达指定账户导致响应无效的，由潜在投标人自行承担责任）。</w:t>
            </w:r>
          </w:p>
          <w:p>
            <w:pPr>
              <w:autoSpaceDE w:val="0"/>
              <w:autoSpaceDN w:val="0"/>
              <w:adjustRightInd w:val="0"/>
              <w:spacing w:line="360" w:lineRule="auto"/>
              <w:ind w:left="19" w:leftChars="8" w:firstLine="482"/>
              <w:rPr>
                <w:rFonts w:ascii="宋体" w:hAnsi="宋体" w:cs="仿宋"/>
                <w:b/>
                <w:bCs/>
                <w:color w:val="000000" w:themeColor="text1"/>
                <w14:textFill>
                  <w14:solidFill>
                    <w14:schemeClr w14:val="tx1"/>
                  </w14:solidFill>
                </w14:textFill>
              </w:rPr>
            </w:pPr>
            <w:r>
              <w:rPr>
                <w:rFonts w:hint="eastAsia" w:ascii="宋体" w:hAnsi="宋体" w:cs="仿宋"/>
                <w:b/>
                <w:bCs/>
                <w:color w:val="000000" w:themeColor="text1"/>
                <w14:textFill>
                  <w14:solidFill>
                    <w14:schemeClr w14:val="tx1"/>
                  </w14:solidFill>
                </w14:textFill>
              </w:rPr>
              <w:t>特别注意：</w:t>
            </w:r>
          </w:p>
          <w:p>
            <w:pPr>
              <w:autoSpaceDE w:val="0"/>
              <w:autoSpaceDN w:val="0"/>
              <w:adjustRightInd w:val="0"/>
              <w:spacing w:line="360" w:lineRule="auto"/>
              <w:ind w:left="19" w:leftChars="8" w:firstLine="482"/>
              <w:rPr>
                <w:rFonts w:ascii="宋体" w:hAnsi="宋体" w:cs="仿宋"/>
                <w:b/>
                <w:bCs/>
                <w:color w:val="000000" w:themeColor="text1"/>
                <w14:textFill>
                  <w14:solidFill>
                    <w14:schemeClr w14:val="tx1"/>
                  </w14:solidFill>
                </w14:textFill>
              </w:rPr>
            </w:pPr>
            <w:r>
              <w:rPr>
                <w:rFonts w:hint="eastAsia" w:ascii="宋体" w:hAnsi="宋体" w:cs="仿宋"/>
                <w:b/>
                <w:bCs/>
                <w:color w:val="000000" w:themeColor="text1"/>
                <w14:textFill>
                  <w14:solidFill>
                    <w14:schemeClr w14:val="tx1"/>
                  </w14:solidFill>
                </w14:textFill>
              </w:rPr>
              <w:t>潜在投标人交纳招标保证金时，请务必核实公司网站项目招标公告页面的“支付信息”，认真阅读“注意事项”并按照“支付信息”进行转账。</w:t>
            </w:r>
          </w:p>
          <w:p>
            <w:pPr>
              <w:pStyle w:val="69"/>
              <w:spacing w:line="440" w:lineRule="exact"/>
              <w:ind w:firstLine="482" w:firstLineChars="200"/>
              <w:rPr>
                <w:rFonts w:cs="仿宋"/>
                <w:b/>
                <w:bCs/>
                <w:color w:val="000000" w:themeColor="text1"/>
                <w:kern w:val="2"/>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1" w:hRule="atLeast"/>
          <w:jc w:val="center"/>
        </w:trPr>
        <w:tc>
          <w:tcPr>
            <w:tcW w:w="1013" w:type="dxa"/>
            <w:vAlign w:val="center"/>
          </w:tcPr>
          <w:p>
            <w:pPr>
              <w:pStyle w:val="69"/>
              <w:spacing w:line="440" w:lineRule="exact"/>
              <w:ind w:right="230"/>
              <w:jc w:val="center"/>
              <w:rPr>
                <w:rFonts w:cs="Courier New"/>
                <w:color w:val="000000" w:themeColor="text1"/>
                <w:lang w:val="zh-CN"/>
                <w14:textFill>
                  <w14:solidFill>
                    <w14:schemeClr w14:val="tx1"/>
                  </w14:solidFill>
                </w14:textFill>
              </w:rPr>
            </w:pPr>
            <w:r>
              <w:rPr>
                <w:rFonts w:hint="eastAsia" w:cs="Courier New"/>
                <w:color w:val="000000" w:themeColor="text1"/>
                <w:lang w:val="zh-CN"/>
                <w14:textFill>
                  <w14:solidFill>
                    <w14:schemeClr w14:val="tx1"/>
                  </w14:solidFill>
                </w14:textFill>
              </w:rPr>
              <w:t>7</w:t>
            </w:r>
          </w:p>
        </w:tc>
        <w:tc>
          <w:tcPr>
            <w:tcW w:w="1939" w:type="dxa"/>
            <w:vAlign w:val="center"/>
          </w:tcPr>
          <w:p>
            <w:pPr>
              <w:pStyle w:val="69"/>
              <w:spacing w:line="440" w:lineRule="exact"/>
              <w:ind w:left="38"/>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成交通知书领取</w:t>
            </w:r>
          </w:p>
        </w:tc>
        <w:tc>
          <w:tcPr>
            <w:tcW w:w="7288" w:type="dxa"/>
            <w:vAlign w:val="center"/>
          </w:tcPr>
          <w:p>
            <w:pPr>
              <w:spacing w:after="120" w:line="360" w:lineRule="auto"/>
              <w:ind w:firstLine="199" w:firstLineChars="83"/>
              <w:rPr>
                <w:rFonts w:ascii="宋体" w:hAnsi="宋体"/>
                <w:color w:val="000000" w:themeColor="text1"/>
                <w14:textFill>
                  <w14:solidFill>
                    <w14:schemeClr w14:val="tx1"/>
                  </w14:solidFill>
                </w14:textFill>
              </w:rPr>
            </w:pPr>
            <w:r>
              <w:rPr>
                <w:rFonts w:hint="eastAsia"/>
                <w:color w:val="000000" w:themeColor="text1"/>
                <w:lang w:val="zh-CN"/>
                <w14:textFill>
                  <w14:solidFill>
                    <w14:schemeClr w14:val="tx1"/>
                  </w14:solidFill>
                </w14:textFill>
              </w:rPr>
              <w:t>投标人招标结果在投标人招标结果在</w:t>
            </w:r>
            <w:r>
              <w:rPr>
                <w:rFonts w:hint="eastAsia" w:ascii="宋体" w:hAnsi="宋体"/>
                <w:color w:val="000000" w:themeColor="text1"/>
                <w14:textFill>
                  <w14:solidFill>
                    <w14:schemeClr w14:val="tx1"/>
                  </w14:solidFill>
                </w14:textFill>
              </w:rPr>
              <w:t>西南联合产权交易所电子招</w:t>
            </w:r>
          </w:p>
          <w:p>
            <w:pPr>
              <w:spacing w:after="120" w:line="360" w:lineRule="auto"/>
              <w:ind w:firstLine="199" w:firstLineChars="83"/>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采平台网站（https://www.swuee.com/#/purchase/index）</w:t>
            </w:r>
            <w:r>
              <w:rPr>
                <w:rFonts w:hint="eastAsia"/>
                <w:color w:val="000000" w:themeColor="text1"/>
                <w:lang w:val="zh-CN"/>
                <w14:textFill>
                  <w14:solidFill>
                    <w14:schemeClr w14:val="tx1"/>
                  </w14:solidFill>
                </w14:textFill>
              </w:rPr>
              <w:t>上予以公告后</w:t>
            </w:r>
            <w:r>
              <w:rPr>
                <w:rFonts w:hint="eastAsia"/>
                <w:color w:val="000000" w:themeColor="text1"/>
                <w14:textFill>
                  <w14:solidFill>
                    <w14:schemeClr w14:val="tx1"/>
                  </w14:solidFill>
                </w14:textFill>
              </w:rPr>
              <w:t>（</w:t>
            </w:r>
            <w:r>
              <w:rPr>
                <w:rFonts w:hint="eastAsia"/>
                <w:b/>
                <w:bCs/>
                <w:color w:val="000000" w:themeColor="text1"/>
                <w:lang w:val="zh-CN"/>
                <w14:textFill>
                  <w14:solidFill>
                    <w14:schemeClr w14:val="tx1"/>
                  </w14:solidFill>
                </w14:textFill>
              </w:rPr>
              <w:t>若招标人确认成交投标人</w:t>
            </w:r>
            <w:r>
              <w:rPr>
                <w:rFonts w:hint="eastAsia"/>
                <w:b/>
                <w:bCs/>
                <w:color w:val="000000" w:themeColor="text1"/>
                <w14:textFill>
                  <w14:solidFill>
                    <w14:schemeClr w14:val="tx1"/>
                  </w14:solidFill>
                </w14:textFill>
              </w:rPr>
              <w:t>，</w:t>
            </w:r>
            <w:r>
              <w:rPr>
                <w:rFonts w:hint="eastAsia"/>
                <w:b/>
                <w:bCs/>
                <w:color w:val="000000" w:themeColor="text1"/>
                <w:lang w:val="zh-CN"/>
                <w14:textFill>
                  <w14:solidFill>
                    <w14:schemeClr w14:val="tx1"/>
                  </w14:solidFill>
                </w14:textFill>
              </w:rPr>
              <w:t>则增加成交投标人结果公示</w:t>
            </w:r>
            <w:r>
              <w:rPr>
                <w:rFonts w:hint="eastAsia"/>
                <w:b/>
                <w:bCs/>
                <w:color w:val="000000" w:themeColor="text1"/>
                <w14:textFill>
                  <w14:solidFill>
                    <w14:schemeClr w14:val="tx1"/>
                  </w14:solidFill>
                </w14:textFill>
              </w:rPr>
              <w:t>，</w:t>
            </w:r>
            <w:r>
              <w:rPr>
                <w:rFonts w:hint="eastAsia"/>
                <w:b/>
                <w:bCs/>
                <w:color w:val="000000" w:themeColor="text1"/>
                <w:lang w:val="zh-CN"/>
                <w14:textFill>
                  <w14:solidFill>
                    <w14:schemeClr w14:val="tx1"/>
                  </w14:solidFill>
                </w14:textFill>
              </w:rPr>
              <w:t>公示期为</w:t>
            </w:r>
            <w:r>
              <w:rPr>
                <w:rFonts w:hint="eastAsia"/>
                <w:b/>
                <w:bCs/>
                <w:color w:val="000000" w:themeColor="text1"/>
                <w14:textFill>
                  <w14:solidFill>
                    <w14:schemeClr w14:val="tx1"/>
                  </w14:solidFill>
                </w14:textFill>
              </w:rPr>
              <w:t>1个工作日</w:t>
            </w:r>
            <w:r>
              <w:rPr>
                <w:rFonts w:hint="eastAsia"/>
                <w:color w:val="000000" w:themeColor="text1"/>
                <w14:textFill>
                  <w14:solidFill>
                    <w14:schemeClr w14:val="tx1"/>
                  </w14:solidFill>
                </w14:textFill>
              </w:rPr>
              <w:t>），</w:t>
            </w:r>
            <w:r>
              <w:rPr>
                <w:rFonts w:hint="eastAsia"/>
                <w:color w:val="000000" w:themeColor="text1"/>
                <w:lang w:val="zh-CN"/>
                <w14:textFill>
                  <w14:solidFill>
                    <w14:schemeClr w14:val="tx1"/>
                  </w14:solidFill>
                </w14:textFill>
              </w:rPr>
              <w:t>请成交投标人凭有效身份证明证件</w:t>
            </w:r>
            <w:r>
              <w:rPr>
                <w:rFonts w:hint="eastAsia"/>
                <w:color w:val="000000" w:themeColor="text1"/>
                <w14:textFill>
                  <w14:solidFill>
                    <w14:schemeClr w14:val="tx1"/>
                  </w14:solidFill>
                </w14:textFill>
              </w:rPr>
              <w:t>（</w:t>
            </w:r>
            <w:r>
              <w:rPr>
                <w:rFonts w:hint="eastAsia"/>
                <w:color w:val="000000" w:themeColor="text1"/>
                <w:lang w:val="zh-CN"/>
                <w14:textFill>
                  <w14:solidFill>
                    <w14:schemeClr w14:val="tx1"/>
                  </w14:solidFill>
                </w14:textFill>
              </w:rPr>
              <w:t>投标人营业执照、法人身份证明、授权委托书、身份证复印件</w:t>
            </w:r>
            <w:r>
              <w:rPr>
                <w:rFonts w:hint="eastAsia"/>
                <w:color w:val="000000" w:themeColor="text1"/>
                <w14:textFill>
                  <w14:solidFill>
                    <w14:schemeClr w14:val="tx1"/>
                  </w14:solidFill>
                </w14:textFill>
              </w:rPr>
              <w:t>）</w:t>
            </w:r>
            <w:r>
              <w:rPr>
                <w:rFonts w:hint="eastAsia"/>
                <w:color w:val="000000" w:themeColor="text1"/>
                <w:lang w:val="zh-CN"/>
                <w14:textFill>
                  <w14:solidFill>
                    <w14:schemeClr w14:val="tx1"/>
                  </w14:solidFill>
                </w14:textFill>
              </w:rPr>
              <w:t>到</w:t>
            </w:r>
            <w:r>
              <w:rPr>
                <w:rFonts w:hint="eastAsia"/>
                <w:bCs/>
                <w:color w:val="000000" w:themeColor="text1"/>
                <w:szCs w:val="28"/>
                <w14:textFill>
                  <w14:solidFill>
                    <w14:schemeClr w14:val="tx1"/>
                  </w14:solidFill>
                </w14:textFill>
              </w:rPr>
              <w:t>四川省成都市顺城大街308号冠城广场17楼</w:t>
            </w:r>
            <w:r>
              <w:rPr>
                <w:rFonts w:hint="eastAsia"/>
                <w:color w:val="000000" w:themeColor="text1"/>
                <w14:textFill>
                  <w14:solidFill>
                    <w14:schemeClr w14:val="tx1"/>
                  </w14:solidFill>
                </w14:textFill>
              </w:rPr>
              <w:t>（成都创源国际货运代理有限公司）</w:t>
            </w:r>
            <w:r>
              <w:rPr>
                <w:rFonts w:hint="eastAsia"/>
                <w:color w:val="000000" w:themeColor="text1"/>
                <w:lang w:val="zh-CN"/>
                <w14:textFill>
                  <w14:solidFill>
                    <w14:schemeClr w14:val="tx1"/>
                  </w14:solidFill>
                </w14:textFill>
              </w:rPr>
              <w:t>领取成交通知书。</w:t>
            </w:r>
          </w:p>
          <w:p>
            <w:pPr>
              <w:pStyle w:val="69"/>
              <w:snapToGrid w:val="0"/>
              <w:spacing w:line="440" w:lineRule="exact"/>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联系电话：</w:t>
            </w:r>
            <w:r>
              <w:rPr>
                <w:rFonts w:hint="eastAsia"/>
                <w:color w:val="000000" w:themeColor="text1"/>
                <w14:textFill>
                  <w14:solidFill>
                    <w14:schemeClr w14:val="tx1"/>
                  </w14:solidFill>
                </w14:textFill>
              </w:rPr>
              <w:t>15608002456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066" w:hRule="atLeast"/>
          <w:jc w:val="center"/>
        </w:trPr>
        <w:tc>
          <w:tcPr>
            <w:tcW w:w="1013" w:type="dxa"/>
            <w:vAlign w:val="center"/>
          </w:tcPr>
          <w:p>
            <w:pPr>
              <w:pStyle w:val="69"/>
              <w:spacing w:line="440" w:lineRule="exact"/>
              <w:ind w:right="230"/>
              <w:jc w:val="center"/>
              <w:rPr>
                <w:rFonts w:cs="Courier New"/>
                <w:color w:val="000000" w:themeColor="text1"/>
                <w:lang w:val="zh-CN"/>
                <w14:textFill>
                  <w14:solidFill>
                    <w14:schemeClr w14:val="tx1"/>
                  </w14:solidFill>
                </w14:textFill>
              </w:rPr>
            </w:pPr>
            <w:r>
              <w:rPr>
                <w:rFonts w:hint="eastAsia" w:cs="Courier New"/>
                <w:color w:val="000000" w:themeColor="text1"/>
                <w:lang w:val="zh-CN"/>
                <w14:textFill>
                  <w14:solidFill>
                    <w14:schemeClr w14:val="tx1"/>
                  </w14:solidFill>
                </w14:textFill>
              </w:rPr>
              <w:t>8</w:t>
            </w:r>
          </w:p>
        </w:tc>
        <w:tc>
          <w:tcPr>
            <w:tcW w:w="1939" w:type="dxa"/>
            <w:vAlign w:val="center"/>
          </w:tcPr>
          <w:p>
            <w:pPr>
              <w:pStyle w:val="69"/>
              <w:spacing w:line="440" w:lineRule="exact"/>
              <w:ind w:left="38"/>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投标人询问及质疑</w:t>
            </w:r>
          </w:p>
        </w:tc>
        <w:tc>
          <w:tcPr>
            <w:tcW w:w="7288" w:type="dxa"/>
            <w:vAlign w:val="center"/>
          </w:tcPr>
          <w:p>
            <w:pPr>
              <w:pStyle w:val="69"/>
              <w:spacing w:line="440" w:lineRule="exact"/>
              <w:ind w:left="82" w:leftChars="34"/>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投标人对招标文件中的包含资格条件、技术（服务）要求、商务要求、评分标准在内提出的质疑由招标人受理并答复。</w:t>
            </w:r>
          </w:p>
          <w:p>
            <w:pPr>
              <w:pStyle w:val="69"/>
              <w:spacing w:line="440" w:lineRule="exact"/>
              <w:rPr>
                <w:b/>
                <w:bCs/>
                <w:color w:val="000000" w:themeColor="text1"/>
                <w:lang w:val="zh-CN"/>
                <w14:textFill>
                  <w14:solidFill>
                    <w14:schemeClr w14:val="tx1"/>
                  </w14:solidFill>
                </w14:textFill>
              </w:rPr>
            </w:pPr>
            <w:r>
              <w:rPr>
                <w:rFonts w:hint="eastAsia"/>
                <w:b/>
                <w:bCs/>
                <w:color w:val="000000" w:themeColor="text1"/>
                <w:lang w:val="zh-CN"/>
                <w14:textFill>
                  <w14:solidFill>
                    <w14:schemeClr w14:val="tx1"/>
                  </w14:solidFill>
                </w14:textFill>
              </w:rPr>
              <w:t>注：1.提出质疑的投标人应当是参与本项目招标活动的投标人。潜在投标人已依法获取其可质疑的招标文件的，可以对该文件提出质疑。投标人可以委托代理人进行质疑。</w:t>
            </w:r>
          </w:p>
          <w:p>
            <w:pPr>
              <w:pStyle w:val="69"/>
              <w:spacing w:line="440" w:lineRule="exact"/>
              <w:rPr>
                <w:b/>
                <w:bCs/>
                <w:color w:val="000000" w:themeColor="text1"/>
                <w:lang w:val="zh-CN"/>
                <w14:textFill>
                  <w14:solidFill>
                    <w14:schemeClr w14:val="tx1"/>
                  </w14:solidFill>
                </w14:textFill>
              </w:rPr>
            </w:pPr>
            <w:r>
              <w:rPr>
                <w:rFonts w:hint="eastAsia"/>
                <w:b/>
                <w:bCs/>
                <w:color w:val="000000" w:themeColor="text1"/>
                <w:lang w:val="zh-CN"/>
                <w14:textFill>
                  <w14:solidFill>
                    <w14:schemeClr w14:val="tx1"/>
                  </w14:solidFill>
                </w14:textFill>
              </w:rPr>
              <w:t>2．投标人质疑不得超出招标文件、招标过程、招标结果的范围。投标人须在规定质疑期内一次性提出针对同一招标程序的书面质疑。</w:t>
            </w:r>
          </w:p>
          <w:p>
            <w:pPr>
              <w:pStyle w:val="69"/>
              <w:snapToGrid w:val="0"/>
              <w:spacing w:line="440" w:lineRule="exact"/>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联系人：张女士     联系电话：15608002456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69"/>
              <w:spacing w:line="440" w:lineRule="exact"/>
              <w:ind w:right="230"/>
              <w:jc w:val="center"/>
              <w:rPr>
                <w:rFonts w:cs="Courier New"/>
                <w:color w:val="000000" w:themeColor="text1"/>
                <w:lang w:val="zh-CN"/>
                <w14:textFill>
                  <w14:solidFill>
                    <w14:schemeClr w14:val="tx1"/>
                  </w14:solidFill>
                </w14:textFill>
              </w:rPr>
            </w:pPr>
            <w:r>
              <w:rPr>
                <w:rFonts w:hint="eastAsia" w:cs="Courier New"/>
                <w:color w:val="000000" w:themeColor="text1"/>
                <w:lang w:val="zh-CN"/>
                <w14:textFill>
                  <w14:solidFill>
                    <w14:schemeClr w14:val="tx1"/>
                  </w14:solidFill>
                </w14:textFill>
              </w:rPr>
              <w:t>9</w:t>
            </w:r>
          </w:p>
        </w:tc>
        <w:tc>
          <w:tcPr>
            <w:tcW w:w="1939" w:type="dxa"/>
            <w:vAlign w:val="center"/>
          </w:tcPr>
          <w:p>
            <w:pPr>
              <w:pStyle w:val="69"/>
              <w:spacing w:line="440" w:lineRule="exact"/>
              <w:ind w:left="96"/>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考察现场、标前答疑会</w:t>
            </w:r>
          </w:p>
        </w:tc>
        <w:tc>
          <w:tcPr>
            <w:tcW w:w="7288" w:type="dxa"/>
            <w:vAlign w:val="center"/>
          </w:tcPr>
          <w:p>
            <w:pPr>
              <w:pStyle w:val="69"/>
              <w:spacing w:line="440" w:lineRule="exact"/>
              <w:rPr>
                <w:color w:val="000000" w:themeColor="text1"/>
                <w:kern w:val="2"/>
                <w14:textFill>
                  <w14:solidFill>
                    <w14:schemeClr w14:val="tx1"/>
                  </w14:solidFill>
                </w14:textFill>
              </w:rPr>
            </w:pPr>
            <w:r>
              <w:rPr>
                <w:rFonts w:hint="eastAsia"/>
                <w:color w:val="000000" w:themeColor="text1"/>
                <w14:textFill>
                  <w14:solidFill>
                    <w14:schemeClr w14:val="tx1"/>
                  </w14:solidFill>
                </w14:textFill>
              </w:rPr>
              <w:t>该项目</w:t>
            </w:r>
            <w:r>
              <w:rPr>
                <w:rFonts w:hint="eastAsia"/>
                <w:color w:val="000000" w:themeColor="text1"/>
                <w:lang w:val="zh-CN"/>
                <w14:textFill>
                  <w14:solidFill>
                    <w14:schemeClr w14:val="tx1"/>
                  </w14:solidFill>
                </w14:textFill>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69"/>
              <w:spacing w:line="440" w:lineRule="exact"/>
              <w:ind w:right="230"/>
              <w:jc w:val="center"/>
              <w:rPr>
                <w:rFonts w:cs="Courier New"/>
                <w:color w:val="000000" w:themeColor="text1"/>
                <w14:textFill>
                  <w14:solidFill>
                    <w14:schemeClr w14:val="tx1"/>
                  </w14:solidFill>
                </w14:textFill>
              </w:rPr>
            </w:pPr>
            <w:r>
              <w:rPr>
                <w:rFonts w:hint="eastAsia" w:cs="Courier New"/>
                <w:color w:val="000000" w:themeColor="text1"/>
                <w14:textFill>
                  <w14:solidFill>
                    <w14:schemeClr w14:val="tx1"/>
                  </w14:solidFill>
                </w14:textFill>
              </w:rPr>
              <w:t>10</w:t>
            </w:r>
          </w:p>
        </w:tc>
        <w:tc>
          <w:tcPr>
            <w:tcW w:w="1939" w:type="dxa"/>
            <w:vAlign w:val="center"/>
          </w:tcPr>
          <w:p>
            <w:pPr>
              <w:pStyle w:val="69"/>
              <w:spacing w:line="440" w:lineRule="exact"/>
              <w:jc w:val="center"/>
              <w:rPr>
                <w:color w:val="000000" w:themeColor="text1"/>
                <w:lang w:val="zh-CN"/>
                <w14:textFill>
                  <w14:solidFill>
                    <w14:schemeClr w14:val="tx1"/>
                  </w14:solidFill>
                </w14:textFill>
              </w:rPr>
            </w:pPr>
            <w:r>
              <w:rPr>
                <w:rFonts w:hint="eastAsia"/>
                <w:color w:val="000000" w:themeColor="text1"/>
                <w:kern w:val="2"/>
                <w14:textFill>
                  <w14:solidFill>
                    <w14:schemeClr w14:val="tx1"/>
                  </w14:solidFill>
                </w14:textFill>
              </w:rPr>
              <w:t>其他</w:t>
            </w:r>
          </w:p>
        </w:tc>
        <w:tc>
          <w:tcPr>
            <w:tcW w:w="7288" w:type="dxa"/>
            <w:vAlign w:val="center"/>
          </w:tcPr>
          <w:p>
            <w:pPr>
              <w:pStyle w:val="69"/>
              <w:spacing w:line="440" w:lineRule="exact"/>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1、招标文件其他内容与投标人须知附表内容不一致的，以投标人须知附表规定的内容为准。</w:t>
            </w:r>
          </w:p>
          <w:p>
            <w:pPr>
              <w:pStyle w:val="69"/>
              <w:spacing w:line="440" w:lineRule="exact"/>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2、投标人响应报价精确到元（个位），报价精确到角、分等元以后单位（小数点以后）的为无效报价</w:t>
            </w:r>
          </w:p>
          <w:p>
            <w:pPr>
              <w:pStyle w:val="69"/>
              <w:spacing w:line="440" w:lineRule="exact"/>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3、本次招标属企业自主招标。</w:t>
            </w:r>
          </w:p>
          <w:p>
            <w:pPr>
              <w:pStyle w:val="69"/>
              <w:spacing w:line="440" w:lineRule="exact"/>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4、本招标文件由招标人负责解释。</w:t>
            </w:r>
          </w:p>
          <w:p>
            <w:pPr>
              <w:adjustRightInd w:val="0"/>
              <w:snapToGrid w:val="0"/>
              <w:spacing w:line="600" w:lineRule="exact"/>
              <w:ind w:firstLine="0" w:firstLineChars="0"/>
              <w:rPr>
                <w:color w:val="000000" w:themeColor="text1"/>
                <w:lang w:val="zh-CN"/>
                <w14:textFill>
                  <w14:solidFill>
                    <w14:schemeClr w14:val="tx1"/>
                  </w14:solidFill>
                </w14:textFill>
              </w:rPr>
            </w:pPr>
            <w:r>
              <w:rPr>
                <w:rFonts w:hint="eastAsia"/>
                <w:b/>
                <w:color w:val="000000" w:themeColor="text1"/>
                <w14:textFill>
                  <w14:solidFill>
                    <w14:schemeClr w14:val="tx1"/>
                  </w14:solidFill>
                </w14:textFill>
              </w:rPr>
              <w:t>5、各潜在投标人在招标过程中有相关咨询事项的，应注意其自身身份的保密，若因投标人自身原因，造成其招标申请信息泄漏的，由其承担相应责任。</w:t>
            </w:r>
          </w:p>
        </w:tc>
      </w:tr>
    </w:tbl>
    <w:p>
      <w:pPr>
        <w:ind w:firstLine="480"/>
        <w:rPr>
          <w:color w:val="000000" w:themeColor="text1"/>
          <w14:textFill>
            <w14:solidFill>
              <w14:schemeClr w14:val="tx1"/>
            </w14:solidFill>
          </w14:textFill>
        </w:rPr>
      </w:pPr>
      <w:bookmarkStart w:id="23" w:name="_Toc96446219"/>
    </w:p>
    <w:p>
      <w:pPr>
        <w:pStyle w:val="3"/>
        <w:keepNext w:val="0"/>
        <w:keepLines w:val="0"/>
        <w:spacing w:before="0" w:after="0" w:line="400" w:lineRule="exact"/>
        <w:ind w:firstLine="562"/>
        <w:rPr>
          <w:rFonts w:ascii="黑体"/>
          <w:bCs w:val="0"/>
          <w:color w:val="000000" w:themeColor="text1"/>
          <w14:textFill>
            <w14:solidFill>
              <w14:schemeClr w14:val="tx1"/>
            </w14:solidFill>
          </w14:textFill>
        </w:rPr>
      </w:pPr>
      <w:r>
        <w:rPr>
          <w:rFonts w:hint="eastAsia" w:ascii="黑体"/>
          <w:bCs w:val="0"/>
          <w:color w:val="000000" w:themeColor="text1"/>
          <w14:textFill>
            <w14:solidFill>
              <w14:schemeClr w14:val="tx1"/>
            </w14:solidFill>
          </w14:textFill>
        </w:rPr>
        <w:br w:type="page"/>
      </w:r>
      <w:r>
        <w:rPr>
          <w:rFonts w:hint="eastAsia" w:ascii="黑体"/>
          <w:bCs w:val="0"/>
          <w:color w:val="000000" w:themeColor="text1"/>
          <w14:textFill>
            <w14:solidFill>
              <w14:schemeClr w14:val="tx1"/>
            </w14:solidFill>
          </w14:textFill>
        </w:rPr>
        <w:t>二、总  则</w:t>
      </w:r>
      <w:bookmarkEnd w:id="23"/>
    </w:p>
    <w:p>
      <w:pPr>
        <w:pStyle w:val="4"/>
        <w:ind w:firstLine="482"/>
        <w:rPr>
          <w:color w:val="000000" w:themeColor="text1"/>
          <w14:textFill>
            <w14:solidFill>
              <w14:schemeClr w14:val="tx1"/>
            </w14:solidFill>
          </w14:textFill>
        </w:rPr>
      </w:pPr>
      <w:bookmarkStart w:id="24" w:name="_Toc183582205"/>
      <w:bookmarkStart w:id="25" w:name="_Toc183682342"/>
      <w:bookmarkStart w:id="26" w:name="_Toc217446034"/>
      <w:bookmarkStart w:id="27" w:name="_Toc96446220"/>
      <w:r>
        <w:rPr>
          <w:rFonts w:hint="eastAsia"/>
          <w:color w:val="000000" w:themeColor="text1"/>
          <w14:textFill>
            <w14:solidFill>
              <w14:schemeClr w14:val="tx1"/>
            </w14:solidFill>
          </w14:textFill>
        </w:rPr>
        <w:t>1</w:t>
      </w:r>
      <w:r>
        <w:rPr>
          <w:color w:val="000000" w:themeColor="text1"/>
          <w14:textFill>
            <w14:solidFill>
              <w14:schemeClr w14:val="tx1"/>
            </w14:solidFill>
          </w14:textFill>
        </w:rPr>
        <w:t>.</w:t>
      </w:r>
      <w:bookmarkEnd w:id="24"/>
      <w:bookmarkEnd w:id="25"/>
      <w:r>
        <w:rPr>
          <w:rFonts w:hint="eastAsia"/>
          <w:color w:val="000000" w:themeColor="text1"/>
          <w14:textFill>
            <w14:solidFill>
              <w14:schemeClr w14:val="tx1"/>
            </w14:solidFill>
          </w14:textFill>
        </w:rPr>
        <w:t>适用范围</w:t>
      </w:r>
      <w:bookmarkEnd w:id="26"/>
      <w:bookmarkEnd w:id="27"/>
    </w:p>
    <w:p>
      <w:pPr>
        <w:tabs>
          <w:tab w:val="left" w:pos="7665"/>
        </w:tabs>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1 本招标文件仅适用于本次招标所叙述的内容招标。</w:t>
      </w:r>
    </w:p>
    <w:p>
      <w:pPr>
        <w:tabs>
          <w:tab w:val="left" w:pos="7665"/>
        </w:tabs>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1.2 本招标文件的解释权归招标人所有。</w:t>
      </w:r>
    </w:p>
    <w:p>
      <w:pPr>
        <w:pStyle w:val="4"/>
        <w:ind w:firstLine="482"/>
        <w:rPr>
          <w:color w:val="000000" w:themeColor="text1"/>
          <w14:textFill>
            <w14:solidFill>
              <w14:schemeClr w14:val="tx1"/>
            </w14:solidFill>
          </w14:textFill>
        </w:rPr>
      </w:pPr>
      <w:bookmarkStart w:id="28" w:name="_Toc183682343"/>
      <w:bookmarkStart w:id="29" w:name="_Toc217446035"/>
      <w:bookmarkStart w:id="30" w:name="_Toc183582206"/>
      <w:bookmarkStart w:id="31" w:name="_Toc96446221"/>
      <w:r>
        <w:rPr>
          <w:color w:val="000000" w:themeColor="text1"/>
          <w14:textFill>
            <w14:solidFill>
              <w14:schemeClr w14:val="tx1"/>
            </w14:solidFill>
          </w14:textFill>
        </w:rPr>
        <w:t>2.</w:t>
      </w:r>
      <w:bookmarkEnd w:id="28"/>
      <w:bookmarkEnd w:id="29"/>
      <w:bookmarkEnd w:id="30"/>
      <w:r>
        <w:rPr>
          <w:rFonts w:hint="eastAsia"/>
          <w:color w:val="000000" w:themeColor="text1"/>
          <w14:textFill>
            <w14:solidFill>
              <w14:schemeClr w14:val="tx1"/>
            </w14:solidFill>
          </w14:textFill>
        </w:rPr>
        <w:t>招标主体</w:t>
      </w:r>
      <w:bookmarkEnd w:id="31"/>
    </w:p>
    <w:p>
      <w:pPr>
        <w:tabs>
          <w:tab w:val="left" w:pos="7665"/>
        </w:tabs>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1本次招标的招标人是</w:t>
      </w:r>
      <w:r>
        <w:rPr>
          <w:rFonts w:hint="eastAsia" w:ascii="宋体" w:hAnsi="宋体"/>
          <w:color w:val="000000" w:themeColor="text1"/>
          <w:u w:val="single"/>
          <w14:textFill>
            <w14:solidFill>
              <w14:schemeClr w14:val="tx1"/>
            </w14:solidFill>
          </w14:textFill>
        </w:rPr>
        <w:t>成都创源国际货运代理有限公司</w:t>
      </w:r>
      <w:r>
        <w:rPr>
          <w:rFonts w:hint="eastAsia" w:ascii="宋体" w:hAnsi="宋体"/>
          <w:color w:val="000000" w:themeColor="text1"/>
          <w14:textFill>
            <w14:solidFill>
              <w14:schemeClr w14:val="tx1"/>
            </w14:solidFill>
          </w14:textFill>
        </w:rPr>
        <w:t>。</w:t>
      </w:r>
    </w:p>
    <w:p>
      <w:pPr>
        <w:pStyle w:val="4"/>
        <w:ind w:firstLine="482"/>
        <w:rPr>
          <w:color w:val="000000" w:themeColor="text1"/>
          <w14:textFill>
            <w14:solidFill>
              <w14:schemeClr w14:val="tx1"/>
            </w14:solidFill>
          </w14:textFill>
        </w:rPr>
      </w:pPr>
      <w:bookmarkStart w:id="32" w:name="_Toc183682344"/>
      <w:bookmarkStart w:id="33" w:name="_Toc217446036"/>
      <w:bookmarkStart w:id="34" w:name="_Toc183582207"/>
      <w:bookmarkStart w:id="35" w:name="_Toc217390843"/>
      <w:bookmarkStart w:id="36" w:name="_Toc96446222"/>
      <w:r>
        <w:rPr>
          <w:color w:val="000000" w:themeColor="text1"/>
          <w14:textFill>
            <w14:solidFill>
              <w14:schemeClr w14:val="tx1"/>
            </w14:solidFill>
          </w14:textFill>
        </w:rPr>
        <w:t>3.</w:t>
      </w:r>
      <w:r>
        <w:rPr>
          <w:rFonts w:hint="eastAsia"/>
          <w:color w:val="000000" w:themeColor="text1"/>
          <w14:textFill>
            <w14:solidFill>
              <w14:schemeClr w14:val="tx1"/>
            </w14:solidFill>
          </w14:textFill>
        </w:rPr>
        <w:t xml:space="preserve"> 合格</w:t>
      </w:r>
      <w:bookmarkEnd w:id="32"/>
      <w:bookmarkEnd w:id="33"/>
      <w:bookmarkEnd w:id="34"/>
      <w:bookmarkEnd w:id="35"/>
      <w:r>
        <w:rPr>
          <w:rFonts w:hint="eastAsia"/>
          <w:color w:val="000000" w:themeColor="text1"/>
          <w14:textFill>
            <w14:solidFill>
              <w14:schemeClr w14:val="tx1"/>
            </w14:solidFill>
          </w14:textFill>
        </w:rPr>
        <w:t>投标人（实质性要求）</w:t>
      </w:r>
      <w:bookmarkEnd w:id="36"/>
    </w:p>
    <w:p>
      <w:pPr>
        <w:tabs>
          <w:tab w:val="left" w:pos="7665"/>
        </w:tabs>
        <w:ind w:firstLine="480"/>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合格投标人应具备以下条件：</w:t>
      </w:r>
    </w:p>
    <w:p>
      <w:pPr>
        <w:tabs>
          <w:tab w:val="left" w:pos="7665"/>
        </w:tabs>
        <w:ind w:firstLine="480"/>
        <w:rPr>
          <w:rFonts w:ascii="宋体" w:hAnsi="宋体"/>
          <w:color w:val="000000" w:themeColor="text1"/>
          <w:spacing w:val="-4"/>
          <w14:textFill>
            <w14:solidFill>
              <w14:schemeClr w14:val="tx1"/>
            </w14:solidFill>
          </w14:textFill>
        </w:rPr>
      </w:pPr>
      <w:r>
        <w:rPr>
          <w:rFonts w:hint="eastAsia" w:ascii="宋体" w:hAnsi="宋体"/>
          <w:color w:val="000000" w:themeColor="text1"/>
          <w14:textFill>
            <w14:solidFill>
              <w14:schemeClr w14:val="tx1"/>
            </w14:solidFill>
          </w14:textFill>
        </w:rPr>
        <w:t>3.1 具备法律法规和本招标文件规定的资格条件</w:t>
      </w:r>
      <w:r>
        <w:rPr>
          <w:rFonts w:hint="eastAsia" w:ascii="宋体" w:hAnsi="宋体"/>
          <w:color w:val="000000" w:themeColor="text1"/>
          <w:spacing w:val="-4"/>
          <w14:textFill>
            <w14:solidFill>
              <w14:schemeClr w14:val="tx1"/>
            </w14:solidFill>
          </w14:textFill>
        </w:rPr>
        <w:t>；</w:t>
      </w:r>
    </w:p>
    <w:p>
      <w:pPr>
        <w:tabs>
          <w:tab w:val="left" w:pos="7665"/>
        </w:tabs>
        <w:ind w:firstLine="464"/>
        <w:rPr>
          <w:rFonts w:ascii="宋体" w:hAnsi="宋体"/>
          <w:color w:val="000000" w:themeColor="text1"/>
          <w:spacing w:val="-4"/>
          <w14:textFill>
            <w14:solidFill>
              <w14:schemeClr w14:val="tx1"/>
            </w14:solidFill>
          </w14:textFill>
        </w:rPr>
      </w:pPr>
      <w:r>
        <w:rPr>
          <w:rFonts w:hint="eastAsia" w:ascii="宋体" w:hAnsi="宋体"/>
          <w:color w:val="000000" w:themeColor="text1"/>
          <w:spacing w:val="-4"/>
          <w14:textFill>
            <w14:solidFill>
              <w14:schemeClr w14:val="tx1"/>
            </w14:solidFill>
          </w14:textFill>
        </w:rPr>
        <w:t>3.2 不属于禁止参加本项目招标活动的投标人；</w:t>
      </w:r>
    </w:p>
    <w:p>
      <w:pPr>
        <w:tabs>
          <w:tab w:val="left" w:pos="7665"/>
        </w:tabs>
        <w:ind w:firstLine="464"/>
        <w:rPr>
          <w:rFonts w:ascii="宋体" w:hAnsi="宋体"/>
          <w:color w:val="000000" w:themeColor="text1"/>
          <w:spacing w:val="-4"/>
          <w14:textFill>
            <w14:solidFill>
              <w14:schemeClr w14:val="tx1"/>
            </w14:solidFill>
          </w14:textFill>
        </w:rPr>
      </w:pPr>
      <w:r>
        <w:rPr>
          <w:rFonts w:hint="eastAsia" w:ascii="宋体" w:hAnsi="宋体"/>
          <w:color w:val="000000" w:themeColor="text1"/>
          <w:spacing w:val="-4"/>
          <w14:textFill>
            <w14:solidFill>
              <w14:schemeClr w14:val="tx1"/>
            </w14:solidFill>
          </w14:textFill>
        </w:rPr>
        <w:t>3.3 按照规定</w:t>
      </w:r>
      <w:r>
        <w:rPr>
          <w:rFonts w:hint="eastAsia" w:ascii="宋体" w:hAnsi="宋体"/>
          <w:color w:val="000000" w:themeColor="text1"/>
          <w14:textFill>
            <w14:solidFill>
              <w14:schemeClr w14:val="tx1"/>
            </w14:solidFill>
          </w14:textFill>
        </w:rPr>
        <w:t>获取了招标文件，属于实质性参加招标活动的投标人。</w:t>
      </w:r>
    </w:p>
    <w:p>
      <w:pPr>
        <w:pStyle w:val="4"/>
        <w:ind w:firstLine="482"/>
        <w:rPr>
          <w:color w:val="000000" w:themeColor="text1"/>
          <w14:textFill>
            <w14:solidFill>
              <w14:schemeClr w14:val="tx1"/>
            </w14:solidFill>
          </w14:textFill>
        </w:rPr>
      </w:pPr>
      <w:bookmarkStart w:id="37" w:name="_Toc183582208"/>
      <w:bookmarkStart w:id="38" w:name="_Toc183682345"/>
      <w:bookmarkStart w:id="39" w:name="_Toc217446037"/>
      <w:bookmarkStart w:id="40" w:name="_Toc96446223"/>
      <w:r>
        <w:rPr>
          <w:rFonts w:hint="eastAsia"/>
          <w:color w:val="000000" w:themeColor="text1"/>
          <w14:textFill>
            <w14:solidFill>
              <w14:schemeClr w14:val="tx1"/>
            </w14:solidFill>
          </w14:textFill>
        </w:rPr>
        <w:t>4. 招标费用</w:t>
      </w:r>
      <w:bookmarkEnd w:id="37"/>
      <w:bookmarkEnd w:id="38"/>
      <w:bookmarkEnd w:id="39"/>
      <w:bookmarkEnd w:id="40"/>
    </w:p>
    <w:p>
      <w:pPr>
        <w:tabs>
          <w:tab w:val="left" w:pos="7665"/>
        </w:tabs>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投标人应自行承担参加招标活动的全部费用。</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5.充分、公平竞争保障措施（实质性要求）</w:t>
      </w:r>
    </w:p>
    <w:p>
      <w:pPr>
        <w:pStyle w:val="66"/>
        <w:spacing w:line="500" w:lineRule="exact"/>
        <w:ind w:left="1" w:firstLine="480" w:firstLineChars="200"/>
        <w:rPr>
          <w:rFonts w:hAnsi="宋体"/>
          <w:color w:val="000000" w:themeColor="text1"/>
          <w:sz w:val="28"/>
          <w:szCs w:val="28"/>
          <w14:textFill>
            <w14:solidFill>
              <w14:schemeClr w14:val="tx1"/>
            </w14:solidFill>
          </w14:textFill>
        </w:rPr>
      </w:pPr>
      <w:r>
        <w:rPr>
          <w:rFonts w:hint="eastAsia" w:hAnsi="宋体"/>
          <w:color w:val="000000" w:themeColor="text1"/>
          <w:sz w:val="24"/>
          <w14:textFill>
            <w14:solidFill>
              <w14:schemeClr w14:val="tx1"/>
            </w14:solidFill>
          </w14:textFill>
        </w:rPr>
        <w:t>5.1利害关系投标人处理。单位负责人为同一人或者存在直接控股、管理关系的不同投标人不得参加同一合同项下的招标活动。招标项目实行资格预审的，单位负责人为同一人或者存在直接控股、管理关系的不同投标人可以参加资格预审，但只能由投标人确定其中一家符合条件的投标人参加后续的招标活动，否则，其响应文件作为无效处理。</w:t>
      </w:r>
    </w:p>
    <w:p>
      <w:pPr>
        <w:pStyle w:val="66"/>
        <w:spacing w:line="500" w:lineRule="exact"/>
        <w:ind w:left="1"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5.2利害关系授权代表处理。两家以上的投标人不得在同一合同项下的招标项目中，委托同一个自然人、同一家庭的人员、同一单位的人员作为其授权代表，否则，其响应文件作为无效处理。</w:t>
      </w:r>
    </w:p>
    <w:p>
      <w:pPr>
        <w:pStyle w:val="66"/>
        <w:spacing w:line="500" w:lineRule="exact"/>
        <w:ind w:left="1"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5.3前期参与投标人处理。为招标项目提供整体设计、规范编制或者项目管理、监理、检测等服务的投标人，不得再参加该招标项目的其他招标活动。投标人为招标人在确定招标需求、编制招标文件过程中提供咨询论证，其提供的咨询论证意见成为招标文件中规定的投标人资格条件、技术服务商务要求、评标因素和标准、业务合作协议等实质性内容条款的，视同为招标项目提供规范编制。</w:t>
      </w:r>
    </w:p>
    <w:p>
      <w:pPr>
        <w:pStyle w:val="66"/>
        <w:spacing w:line="500" w:lineRule="exact"/>
        <w:ind w:left="1"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5.4投标人实际控制人或者中高级管理人员，同时是招标人工作人员，不得参与本项目招标活动。</w:t>
      </w: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5.5同一母公司的两家以上的子公司不能组成联合体参加本项目同一合同项下的招标活动，不得以不同投标人身份同时参加本项目同一合同项下的招标活动。</w:t>
      </w: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5.6投标人与招标人存在关联关系，或者是招标人的母公司或子公司，不得参加本项目招标活动。</w:t>
      </w:r>
    </w:p>
    <w:p>
      <w:pPr>
        <w:pStyle w:val="66"/>
        <w:spacing w:line="500" w:lineRule="exact"/>
        <w:ind w:left="1"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5.7回避。招标活动中，招标人员及相关人员与投标人有下列利害关系之一的，应当回避：</w:t>
      </w:r>
    </w:p>
    <w:p>
      <w:pPr>
        <w:pStyle w:val="66"/>
        <w:spacing w:line="500" w:lineRule="exact"/>
        <w:ind w:left="1"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（1）参加招标活动前3年内与投标人存在劳动关系；</w:t>
      </w:r>
    </w:p>
    <w:p>
      <w:pPr>
        <w:pStyle w:val="66"/>
        <w:spacing w:line="500" w:lineRule="exact"/>
        <w:ind w:left="1"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（2）参加招标活动前3年内担任投标人的董事、监事；</w:t>
      </w:r>
    </w:p>
    <w:p>
      <w:pPr>
        <w:pStyle w:val="66"/>
        <w:spacing w:line="500" w:lineRule="exact"/>
        <w:ind w:left="1"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（3）参加招标活动前3年内是投标人的控股股东或者实际控制人；</w:t>
      </w:r>
    </w:p>
    <w:p>
      <w:pPr>
        <w:pStyle w:val="66"/>
        <w:spacing w:line="500" w:lineRule="exact"/>
        <w:ind w:left="1"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（4）与投标人的法定代表人或者负责人有夫妻、直系血亲、三代以内旁系血亲或者近姻亲关系；</w:t>
      </w:r>
    </w:p>
    <w:p>
      <w:pPr>
        <w:pStyle w:val="66"/>
        <w:spacing w:line="500" w:lineRule="exact"/>
        <w:ind w:left="1"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（5）与投标人有其他可能影响招标活动公平、公正进行的关系。</w:t>
      </w:r>
    </w:p>
    <w:p>
      <w:pPr>
        <w:pStyle w:val="66"/>
        <w:spacing w:line="500" w:lineRule="exact"/>
        <w:ind w:left="1"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本项目招标活动中需要依法回避的招标人员是指招标人内部负责招标项目的具体经办工作人员和直接分管招标项目的负责人，以及招标人负责招标项目的具体经办工作人员和直接分管招标活动的负责人。本项目招标活动中需要依法回避的相关人员是指招标小组成员。</w:t>
      </w:r>
    </w:p>
    <w:p>
      <w:pPr>
        <w:pStyle w:val="66"/>
        <w:spacing w:line="500" w:lineRule="exact"/>
        <w:ind w:left="1"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投标人认为招标人员及相关人员与其他投标人有利害关系的，可以向招标人书面提出回避申请，并说明理由。招标人将及时询问被申请回避人员，有利害关系的被申请回避人员应当回避。</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6.联合体竞争性招标（实质性要求）</w:t>
      </w:r>
    </w:p>
    <w:p>
      <w:pPr>
        <w:pStyle w:val="66"/>
        <w:spacing w:line="500" w:lineRule="exact"/>
        <w:ind w:left="1"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本项目不允许联合体投标。</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7.投标保证金（实质性要求）</w:t>
      </w:r>
    </w:p>
    <w:p>
      <w:pPr>
        <w:ind w:firstLine="470" w:firstLineChars="196"/>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7.1 投标人必须以人民币为计量单位提交招标文件规定数额的投标保证金。</w:t>
      </w:r>
    </w:p>
    <w:p>
      <w:pPr>
        <w:ind w:firstLine="470" w:firstLineChars="196"/>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7.2 未按招标文件要求在规定时间前交纳规定数额投标保证金的响应文件无效。</w:t>
      </w:r>
    </w:p>
    <w:p>
      <w:pPr>
        <w:ind w:firstLine="470" w:firstLineChars="196"/>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3 投标人所交纳的投标保证金不计利息。</w:t>
      </w:r>
    </w:p>
    <w:p>
      <w:pPr>
        <w:ind w:firstLine="470" w:firstLineChars="196"/>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7.4 未成交投标人的投标保证金，将在成交通知书发出后全额退还。成交投标人的投标保证金，在合同签订生效后全额退还。</w:t>
      </w:r>
    </w:p>
    <w:p>
      <w:pPr>
        <w:ind w:firstLine="470" w:firstLineChars="196"/>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7.5发生下列情形之一的，招标人将不予退还投标保证金：</w:t>
      </w:r>
    </w:p>
    <w:p>
      <w:pPr>
        <w:spacing w:line="560" w:lineRule="exact"/>
        <w:ind w:firstLine="470" w:firstLineChars="196"/>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（一）在招标文件规定的递交响应文件截止时间后撤回响应文件的；</w:t>
      </w:r>
    </w:p>
    <w:p>
      <w:pPr>
        <w:spacing w:line="560" w:lineRule="exact"/>
        <w:ind w:firstLine="470" w:firstLineChars="196"/>
        <w:rPr>
          <w:color w:val="000000" w:themeColor="text1"/>
          <w14:textFill>
            <w14:solidFill>
              <w14:schemeClr w14:val="tx1"/>
            </w14:solidFill>
          </w14:textFill>
        </w:rPr>
      </w:pPr>
      <w:r>
        <w:rPr>
          <w:rFonts w:hint="eastAsia"/>
          <w:color w:val="000000" w:themeColor="text1"/>
          <w14:textFill>
            <w14:solidFill>
              <w14:schemeClr w14:val="tx1"/>
            </w14:solidFill>
          </w14:textFill>
        </w:rPr>
        <w:t>（二）在招标人确定成交投标人之前放弃成交候选资格的；</w:t>
      </w:r>
    </w:p>
    <w:p>
      <w:pPr>
        <w:spacing w:line="560" w:lineRule="exact"/>
        <w:ind w:firstLine="470" w:firstLineChars="196"/>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（三）成交后放弃成交的；</w:t>
      </w:r>
    </w:p>
    <w:p>
      <w:pPr>
        <w:spacing w:line="560" w:lineRule="exact"/>
        <w:ind w:firstLine="470" w:firstLineChars="196"/>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（四）在规定时间内不领取或者不接收成交通知书的；</w:t>
      </w:r>
    </w:p>
    <w:p>
      <w:pPr>
        <w:spacing w:line="560" w:lineRule="exact"/>
        <w:ind w:firstLine="470" w:firstLineChars="196"/>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（五）由于成交投标人的原因未能按照招标文件的规定与招标人签订合同的；</w:t>
      </w:r>
    </w:p>
    <w:p>
      <w:pPr>
        <w:spacing w:line="560" w:lineRule="exact"/>
        <w:ind w:firstLine="470" w:firstLineChars="196"/>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（六）投标人在招标活动中提供虚假材料的；</w:t>
      </w:r>
    </w:p>
    <w:p>
      <w:pPr>
        <w:spacing w:line="560" w:lineRule="exact"/>
        <w:ind w:firstLine="470" w:firstLineChars="196"/>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（七）报价有效期内，投标人在招标活动中有违法、违规、违纪行为。</w:t>
      </w:r>
    </w:p>
    <w:p>
      <w:pPr>
        <w:spacing w:line="560" w:lineRule="exact"/>
        <w:ind w:firstLine="480"/>
        <w:rPr>
          <w:rFonts w:ascii="宋体" w:hAnsi="宋体" w:cs="仿宋"/>
          <w:color w:val="000000" w:themeColor="text1"/>
          <w14:textFill>
            <w14:solidFill>
              <w14:schemeClr w14:val="tx1"/>
            </w14:solidFill>
          </w14:textFill>
        </w:rPr>
      </w:pPr>
      <w:r>
        <w:rPr>
          <w:rFonts w:hint="eastAsia"/>
          <w:color w:val="000000" w:themeColor="text1"/>
          <w:szCs w:val="22"/>
          <w14:textFill>
            <w14:solidFill>
              <w14:schemeClr w14:val="tx1"/>
            </w14:solidFill>
          </w14:textFill>
        </w:rPr>
        <w:t>投标人有上述行为之一的，招标人有权将投标人交纳的保证金转至招标人的指定账户。</w:t>
      </w:r>
    </w:p>
    <w:p>
      <w:pPr>
        <w:ind w:firstLine="470" w:firstLineChars="196"/>
        <w:rPr>
          <w:rFonts w:ascii="宋体" w:hAnsi="宋体"/>
          <w:color w:val="000000" w:themeColor="text1"/>
          <w14:textFill>
            <w14:solidFill>
              <w14:schemeClr w14:val="tx1"/>
            </w14:solidFill>
          </w14:textFill>
        </w:rPr>
      </w:pP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8.响应文件有效期（实质性要求）</w:t>
      </w:r>
    </w:p>
    <w:p>
      <w:pPr>
        <w:ind w:firstLine="470" w:firstLineChars="196"/>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本项目响应文件有效期为递交招标响应文件截止之日起</w:t>
      </w: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0天。投标人响应文件中必须载明响应文件有效期，响应文件中载明的响应文件有效期可以长于招标文件规定的期限，但不得短于招标文件规定的期限。否则，其响应文件将作为无效处理。</w:t>
      </w:r>
    </w:p>
    <w:p>
      <w:pPr>
        <w:pStyle w:val="3"/>
        <w:keepNext w:val="0"/>
        <w:keepLines w:val="0"/>
        <w:spacing w:before="0" w:after="0" w:line="500" w:lineRule="exact"/>
        <w:ind w:firstLine="562"/>
        <w:rPr>
          <w:rFonts w:ascii="黑体"/>
          <w:bCs w:val="0"/>
          <w:color w:val="000000" w:themeColor="text1"/>
          <w14:textFill>
            <w14:solidFill>
              <w14:schemeClr w14:val="tx1"/>
            </w14:solidFill>
          </w14:textFill>
        </w:rPr>
      </w:pPr>
      <w:bookmarkStart w:id="41" w:name="_Toc183582209"/>
      <w:bookmarkStart w:id="42" w:name="_Toc77400779"/>
      <w:bookmarkStart w:id="43" w:name="_Toc183682346"/>
      <w:bookmarkStart w:id="44" w:name="_Toc89075875"/>
      <w:bookmarkStart w:id="45" w:name="_Toc217446038"/>
      <w:bookmarkStart w:id="46" w:name="_Toc96446224"/>
    </w:p>
    <w:p>
      <w:pPr>
        <w:pStyle w:val="3"/>
        <w:keepNext w:val="0"/>
        <w:keepLines w:val="0"/>
        <w:spacing w:before="0" w:after="0" w:line="500" w:lineRule="exact"/>
        <w:ind w:firstLine="562"/>
        <w:rPr>
          <w:rFonts w:ascii="黑体"/>
          <w:bCs w:val="0"/>
          <w:color w:val="000000" w:themeColor="text1"/>
          <w14:textFill>
            <w14:solidFill>
              <w14:schemeClr w14:val="tx1"/>
            </w14:solidFill>
          </w14:textFill>
        </w:rPr>
      </w:pPr>
      <w:r>
        <w:rPr>
          <w:rFonts w:hint="eastAsia" w:ascii="黑体"/>
          <w:bCs w:val="0"/>
          <w:color w:val="000000" w:themeColor="text1"/>
          <w14:textFill>
            <w14:solidFill>
              <w14:schemeClr w14:val="tx1"/>
            </w14:solidFill>
          </w14:textFill>
        </w:rPr>
        <w:t>三、招标文件</w:t>
      </w:r>
      <w:bookmarkEnd w:id="41"/>
      <w:bookmarkEnd w:id="42"/>
      <w:bookmarkEnd w:id="43"/>
      <w:bookmarkEnd w:id="44"/>
      <w:bookmarkEnd w:id="45"/>
      <w:bookmarkEnd w:id="46"/>
    </w:p>
    <w:p>
      <w:pPr>
        <w:pStyle w:val="4"/>
        <w:keepNext w:val="0"/>
        <w:keepLines w:val="0"/>
        <w:ind w:firstLine="482"/>
        <w:rPr>
          <w:color w:val="000000" w:themeColor="text1"/>
          <w14:textFill>
            <w14:solidFill>
              <w14:schemeClr w14:val="tx1"/>
            </w14:solidFill>
          </w14:textFill>
        </w:rPr>
      </w:pPr>
      <w:bookmarkStart w:id="47" w:name="_Toc183582210"/>
      <w:bookmarkStart w:id="48" w:name="_Toc96446225"/>
      <w:bookmarkStart w:id="49" w:name="_Toc217446039"/>
      <w:bookmarkStart w:id="50" w:name="_Toc183682347"/>
      <w:r>
        <w:rPr>
          <w:color w:val="000000" w:themeColor="text1"/>
          <w14:textFill>
            <w14:solidFill>
              <w14:schemeClr w14:val="tx1"/>
            </w14:solidFill>
          </w14:textFill>
        </w:rPr>
        <w:t>9</w:t>
      </w:r>
      <w:r>
        <w:rPr>
          <w:rFonts w:hint="eastAsia"/>
          <w:color w:val="000000" w:themeColor="text1"/>
          <w14:textFill>
            <w14:solidFill>
              <w14:schemeClr w14:val="tx1"/>
            </w14:solidFill>
          </w14:textFill>
        </w:rPr>
        <w:t>．招标文件的构成</w:t>
      </w:r>
      <w:bookmarkEnd w:id="47"/>
      <w:bookmarkEnd w:id="48"/>
      <w:bookmarkEnd w:id="49"/>
      <w:bookmarkEnd w:id="50"/>
    </w:p>
    <w:p>
      <w:pPr>
        <w:tabs>
          <w:tab w:val="left" w:pos="720"/>
        </w:tabs>
        <w:ind w:firstLine="48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9</w:t>
      </w:r>
      <w:r>
        <w:rPr>
          <w:rFonts w:ascii="宋体" w:hAnsi="宋体"/>
          <w:b/>
          <w:bCs/>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1 招标文件是投标人准备响应文件和参加招标的依据，同时也是招标的重要依据。招标文件用以阐明招标项目所需的资质、技术、服务及报价等要求、招标程序、有关规定和注意事项以及合同主要条款等。</w:t>
      </w:r>
    </w:p>
    <w:p>
      <w:pPr>
        <w:tabs>
          <w:tab w:val="left" w:pos="7665"/>
        </w:tabs>
        <w:ind w:firstLine="48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9</w:t>
      </w:r>
      <w:r>
        <w:rPr>
          <w:rFonts w:hint="eastAsia" w:ascii="宋体" w:hAnsi="宋体"/>
          <w:b/>
          <w:bCs/>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2 投标人应认真阅读和充分理解招标文件中所有的事项、格式条款和规范要求。投标人应详细阅读招标文件的全部内容，按照招标文件的要求提供响应文件，并保证所提供的全部资料的真实性和有效性，一经发现有虚假行为的，将取消其参加招标或成交资格，并承担相应的法律责任。</w:t>
      </w:r>
    </w:p>
    <w:p>
      <w:pPr>
        <w:pStyle w:val="4"/>
        <w:keepNext w:val="0"/>
        <w:keepLines w:val="0"/>
        <w:ind w:firstLine="482"/>
        <w:rPr>
          <w:color w:val="000000" w:themeColor="text1"/>
          <w14:textFill>
            <w14:solidFill>
              <w14:schemeClr w14:val="tx1"/>
            </w14:solidFill>
          </w14:textFill>
        </w:rPr>
      </w:pPr>
      <w:bookmarkStart w:id="51" w:name="_Toc183582211"/>
      <w:bookmarkStart w:id="52" w:name="_Toc183682348"/>
      <w:bookmarkStart w:id="53" w:name="_Toc217446040"/>
      <w:bookmarkStart w:id="54" w:name="_Toc96446226"/>
      <w:r>
        <w:rPr>
          <w:rFonts w:hint="eastAsia"/>
          <w:color w:val="000000" w:themeColor="text1"/>
          <w14:textFill>
            <w14:solidFill>
              <w14:schemeClr w14:val="tx1"/>
            </w14:solidFill>
          </w14:textFill>
        </w:rPr>
        <w:t>1</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 招标文件的澄清</w:t>
      </w:r>
      <w:bookmarkEnd w:id="51"/>
      <w:bookmarkEnd w:id="52"/>
      <w:r>
        <w:rPr>
          <w:rFonts w:hint="eastAsia"/>
          <w:color w:val="000000" w:themeColor="text1"/>
          <w14:textFill>
            <w14:solidFill>
              <w14:schemeClr w14:val="tx1"/>
            </w14:solidFill>
          </w14:textFill>
        </w:rPr>
        <w:t>和修改</w:t>
      </w:r>
      <w:bookmarkEnd w:id="53"/>
      <w:bookmarkEnd w:id="54"/>
    </w:p>
    <w:p>
      <w:pPr>
        <w:tabs>
          <w:tab w:val="left" w:pos="720"/>
        </w:tabs>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0</w:t>
      </w:r>
      <w:r>
        <w:rPr>
          <w:rFonts w:hint="eastAsia" w:ascii="宋体" w:hAnsi="宋体"/>
          <w:color w:val="000000" w:themeColor="text1"/>
          <w14:textFill>
            <w14:solidFill>
              <w14:schemeClr w14:val="tx1"/>
            </w14:solidFill>
          </w14:textFill>
        </w:rPr>
        <w:t>.1 在递交响应文件截止时间前，招标人可以对招标文件进行澄清或者修改。</w:t>
      </w:r>
    </w:p>
    <w:p>
      <w:pPr>
        <w:tabs>
          <w:tab w:val="left" w:pos="720"/>
        </w:tabs>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0</w:t>
      </w:r>
      <w:r>
        <w:rPr>
          <w:rFonts w:hint="eastAsia" w:ascii="宋体" w:hAnsi="宋体"/>
          <w:color w:val="000000" w:themeColor="text1"/>
          <w14:textFill>
            <w14:solidFill>
              <w14:schemeClr w14:val="tx1"/>
            </w14:solidFill>
          </w14:textFill>
        </w:rPr>
        <w:t>.2 招标人对已发出的招标文件进行澄清或者修改，应当在招标人公司网站https://www.cyccargo.com/上发布更正公告。该澄清或者修改的内容为招标文件的组成部分，澄清或者修改的内容可能影响响应文件编制的，招标人发布公告并书面通知投标人的时间，应当在</w:t>
      </w:r>
      <w:r>
        <w:rPr>
          <w:rFonts w:hint="eastAsia" w:ascii="宋体" w:hAnsi="宋体" w:cs="宋体"/>
          <w:color w:val="000000" w:themeColor="text1"/>
          <w14:textFill>
            <w14:solidFill>
              <w14:schemeClr w14:val="tx1"/>
            </w14:solidFill>
          </w14:textFill>
        </w:rPr>
        <w:t>提交</w:t>
      </w:r>
      <w:r>
        <w:rPr>
          <w:rFonts w:hint="eastAsia" w:ascii="宋体" w:hAnsi="宋体"/>
          <w:color w:val="000000" w:themeColor="text1"/>
          <w14:textFill>
            <w14:solidFill>
              <w14:schemeClr w14:val="tx1"/>
            </w14:solidFill>
          </w14:textFill>
        </w:rPr>
        <w:t>首次响应文件截</w:t>
      </w:r>
      <w:r>
        <w:rPr>
          <w:rFonts w:hint="eastAsia" w:ascii="宋体" w:hAnsi="宋体" w:cs="宋体"/>
          <w:color w:val="000000" w:themeColor="text1"/>
          <w14:textFill>
            <w14:solidFill>
              <w14:schemeClr w14:val="tx1"/>
            </w14:solidFill>
          </w14:textFill>
        </w:rPr>
        <w:t>止之日起3日前</w:t>
      </w:r>
      <w:r>
        <w:rPr>
          <w:rFonts w:hint="eastAsia" w:ascii="宋体" w:hAnsi="宋体"/>
          <w:color w:val="000000" w:themeColor="text1"/>
          <w14:textFill>
            <w14:solidFill>
              <w14:schemeClr w14:val="tx1"/>
            </w14:solidFill>
          </w14:textFill>
        </w:rPr>
        <w:t>；不足上述时间的，应当顺延递交响应文件的截止时间。</w:t>
      </w:r>
    </w:p>
    <w:p>
      <w:pPr>
        <w:tabs>
          <w:tab w:val="left" w:pos="7665"/>
        </w:tabs>
        <w:spacing w:line="460" w:lineRule="exact"/>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0</w:t>
      </w:r>
      <w:r>
        <w:rPr>
          <w:rFonts w:hint="eastAsia" w:ascii="宋体" w:hAnsi="宋体"/>
          <w:color w:val="000000" w:themeColor="text1"/>
          <w14:textFill>
            <w14:solidFill>
              <w14:schemeClr w14:val="tx1"/>
            </w14:solidFill>
          </w14:textFill>
        </w:rPr>
        <w:t>.3投标人认为招标人需要对招标文件进行澄清或者修改的，可以在</w:t>
      </w:r>
      <w:r>
        <w:rPr>
          <w:rFonts w:hint="eastAsia" w:ascii="宋体" w:hAnsi="宋体" w:cs="宋体"/>
          <w:color w:val="000000" w:themeColor="text1"/>
          <w14:textFill>
            <w14:solidFill>
              <w14:schemeClr w14:val="tx1"/>
            </w14:solidFill>
          </w14:textFill>
        </w:rPr>
        <w:t>提交</w:t>
      </w:r>
      <w:r>
        <w:rPr>
          <w:rFonts w:hint="eastAsia" w:ascii="宋体" w:hAnsi="宋体"/>
          <w:color w:val="000000" w:themeColor="text1"/>
          <w14:textFill>
            <w14:solidFill>
              <w14:schemeClr w14:val="tx1"/>
            </w14:solidFill>
          </w14:textFill>
        </w:rPr>
        <w:t>首次响应文件截</w:t>
      </w:r>
      <w:r>
        <w:rPr>
          <w:rFonts w:hint="eastAsia" w:ascii="宋体" w:hAnsi="宋体" w:cs="宋体"/>
          <w:color w:val="000000" w:themeColor="text1"/>
          <w14:textFill>
            <w14:solidFill>
              <w14:schemeClr w14:val="tx1"/>
            </w14:solidFill>
          </w14:textFill>
        </w:rPr>
        <w:t>止之日起3日前，</w:t>
      </w:r>
      <w:r>
        <w:rPr>
          <w:rFonts w:hint="eastAsia" w:ascii="宋体" w:hAnsi="宋体"/>
          <w:color w:val="000000" w:themeColor="text1"/>
          <w14:textFill>
            <w14:solidFill>
              <w14:schemeClr w14:val="tx1"/>
            </w14:solidFill>
          </w14:textFill>
        </w:rPr>
        <w:t>在招标人公司网站https://www.cyccargo.com/向招标人提出申请，但招标人可以决定是否采纳投标人的申请事项。没有提出澄清要求，又参与了该项目招标活动的投标人将被视为完全认同文件。投标人不按文件规定的时间查看澄清(更正)通知所造成的各种后果，由投标人自行负责。</w:t>
      </w:r>
    </w:p>
    <w:p>
      <w:pPr>
        <w:ind w:firstLine="480"/>
        <w:rPr>
          <w:color w:val="000000" w:themeColor="text1"/>
          <w14:textFill>
            <w14:solidFill>
              <w14:schemeClr w14:val="tx1"/>
            </w14:solidFill>
          </w14:textFill>
        </w:rPr>
      </w:pPr>
      <w:bookmarkStart w:id="55" w:name="_Toc77400780"/>
      <w:bookmarkStart w:id="56" w:name="_Toc217446042"/>
      <w:bookmarkStart w:id="57" w:name="_Toc183682351"/>
      <w:bookmarkStart w:id="58" w:name="_Toc183582214"/>
      <w:bookmarkStart w:id="59" w:name="_Toc89075876"/>
    </w:p>
    <w:p>
      <w:pPr>
        <w:pStyle w:val="3"/>
        <w:keepNext w:val="0"/>
        <w:keepLines w:val="0"/>
        <w:spacing w:before="0" w:after="0" w:line="500" w:lineRule="exact"/>
        <w:ind w:firstLine="562"/>
        <w:rPr>
          <w:rFonts w:ascii="黑体"/>
          <w:bCs w:val="0"/>
          <w:color w:val="000000" w:themeColor="text1"/>
          <w14:textFill>
            <w14:solidFill>
              <w14:schemeClr w14:val="tx1"/>
            </w14:solidFill>
          </w14:textFill>
        </w:rPr>
      </w:pPr>
      <w:bookmarkStart w:id="60" w:name="_Toc96446228"/>
      <w:r>
        <w:rPr>
          <w:rFonts w:hint="eastAsia" w:ascii="黑体"/>
          <w:bCs w:val="0"/>
          <w:color w:val="000000" w:themeColor="text1"/>
          <w14:textFill>
            <w14:solidFill>
              <w14:schemeClr w14:val="tx1"/>
            </w14:solidFill>
          </w14:textFill>
        </w:rPr>
        <w:t>四、响应文件</w:t>
      </w:r>
      <w:bookmarkEnd w:id="55"/>
      <w:bookmarkEnd w:id="56"/>
      <w:bookmarkEnd w:id="57"/>
      <w:bookmarkEnd w:id="58"/>
      <w:bookmarkEnd w:id="59"/>
      <w:bookmarkEnd w:id="60"/>
    </w:p>
    <w:p>
      <w:pPr>
        <w:pStyle w:val="4"/>
        <w:keepNext w:val="0"/>
        <w:keepLines w:val="0"/>
        <w:ind w:firstLine="482"/>
        <w:rPr>
          <w:color w:val="000000" w:themeColor="text1"/>
          <w14:textFill>
            <w14:solidFill>
              <w14:schemeClr w14:val="tx1"/>
            </w14:solidFill>
          </w14:textFill>
        </w:rPr>
      </w:pPr>
      <w:bookmarkStart w:id="61" w:name="_Toc96446229"/>
      <w:bookmarkStart w:id="62" w:name="_Toc183582215"/>
      <w:bookmarkStart w:id="63" w:name="_Toc183682352"/>
      <w:bookmarkStart w:id="64" w:name="_Toc217446043"/>
      <w:r>
        <w:rPr>
          <w:rFonts w:hint="eastAsia"/>
          <w:color w:val="000000" w:themeColor="text1"/>
          <w14:textFill>
            <w14:solidFill>
              <w14:schemeClr w14:val="tx1"/>
            </w14:solidFill>
          </w14:textFill>
        </w:rPr>
        <w:t>1</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.响应文件的组成</w:t>
      </w:r>
      <w:bookmarkEnd w:id="61"/>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投标人应按照招标文件的规定和要求编制响应文件。投标人在成交后将成交项目的非主体、非关键性工作分包他人完成的，应当在响应文件中载明或招标过程中澄清。</w:t>
      </w:r>
    </w:p>
    <w:p>
      <w:pPr>
        <w:pStyle w:val="4"/>
        <w:keepNext w:val="0"/>
        <w:keepLines w:val="0"/>
        <w:ind w:firstLine="482"/>
        <w:rPr>
          <w:color w:val="000000" w:themeColor="text1"/>
          <w14:textFill>
            <w14:solidFill>
              <w14:schemeClr w14:val="tx1"/>
            </w14:solidFill>
          </w14:textFill>
        </w:rPr>
      </w:pPr>
      <w:bookmarkStart w:id="65" w:name="_Toc96446230"/>
      <w:r>
        <w:rPr>
          <w:rFonts w:hint="eastAsia"/>
          <w:color w:val="000000" w:themeColor="text1"/>
          <w14:textFill>
            <w14:solidFill>
              <w14:schemeClr w14:val="tx1"/>
            </w14:solidFill>
          </w14:textFill>
        </w:rPr>
        <w:t>1</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.响应文件的语言</w:t>
      </w:r>
      <w:bookmarkEnd w:id="62"/>
      <w:bookmarkEnd w:id="63"/>
      <w:bookmarkEnd w:id="64"/>
      <w:r>
        <w:rPr>
          <w:rFonts w:hint="eastAsia"/>
          <w:color w:val="000000" w:themeColor="text1"/>
          <w14:textFill>
            <w14:solidFill>
              <w14:schemeClr w14:val="tx1"/>
            </w14:solidFill>
          </w14:textFill>
        </w:rPr>
        <w:t>（实质性要求）</w:t>
      </w:r>
      <w:bookmarkEnd w:id="65"/>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投标人提交的响应文件以及投标人与招标人就有关报价的所有来往书面文件均须使用中文。响应文件中如附有外文资料，必须逐一对应翻译成中文并加盖投标人公章后附在相关外文资料后面，否则，投标人的响应文件将作为无效处理。（说明：投标人的法定代表人为外籍人士的，法定代表人的签字和护照除外。）</w:t>
      </w: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.2 翻译的中文资料与外文资料如果出现差异和矛盾，以中文为准。但不能故意错误翻译，否则，投标人的响应文件将作为无效处理。</w:t>
      </w:r>
    </w:p>
    <w:p>
      <w:pPr>
        <w:pStyle w:val="4"/>
        <w:keepNext w:val="0"/>
        <w:keepLines w:val="0"/>
        <w:ind w:firstLine="482"/>
        <w:rPr>
          <w:color w:val="000000" w:themeColor="text1"/>
          <w14:textFill>
            <w14:solidFill>
              <w14:schemeClr w14:val="tx1"/>
            </w14:solidFill>
          </w14:textFill>
        </w:rPr>
      </w:pPr>
      <w:bookmarkStart w:id="66" w:name="_Toc183682353"/>
      <w:bookmarkStart w:id="67" w:name="_Toc217446044"/>
      <w:bookmarkStart w:id="68" w:name="_Toc183582216"/>
      <w:bookmarkStart w:id="69" w:name="_Toc96446231"/>
      <w:r>
        <w:rPr>
          <w:rFonts w:hint="eastAsia"/>
          <w:color w:val="000000" w:themeColor="text1"/>
          <w14:textFill>
            <w14:solidFill>
              <w14:schemeClr w14:val="tx1"/>
            </w14:solidFill>
          </w14:textFill>
        </w:rPr>
        <w:t>1</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．计量单位</w:t>
      </w:r>
      <w:bookmarkEnd w:id="66"/>
      <w:bookmarkEnd w:id="67"/>
      <w:bookmarkEnd w:id="68"/>
      <w:r>
        <w:rPr>
          <w:rFonts w:hint="eastAsia"/>
          <w:color w:val="000000" w:themeColor="text1"/>
          <w14:textFill>
            <w14:solidFill>
              <w14:schemeClr w14:val="tx1"/>
            </w14:solidFill>
          </w14:textFill>
        </w:rPr>
        <w:t>（实质性要求）</w:t>
      </w:r>
      <w:bookmarkEnd w:id="69"/>
    </w:p>
    <w:p>
      <w:pPr>
        <w:ind w:firstLine="470" w:firstLineChars="196"/>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除招标文件中另有规定外，本次招标项目所有合同项下的报价均采用国家法定的计量单位。</w:t>
      </w:r>
    </w:p>
    <w:p>
      <w:pPr>
        <w:pStyle w:val="4"/>
        <w:keepNext w:val="0"/>
        <w:keepLines w:val="0"/>
        <w:ind w:firstLine="439" w:firstLineChars="182"/>
        <w:rPr>
          <w:color w:val="000000" w:themeColor="text1"/>
          <w14:textFill>
            <w14:solidFill>
              <w14:schemeClr w14:val="tx1"/>
            </w14:solidFill>
          </w14:textFill>
        </w:rPr>
      </w:pPr>
      <w:bookmarkStart w:id="70" w:name="_Toc217446045"/>
      <w:r>
        <w:rPr>
          <w:rFonts w:hint="eastAsia"/>
          <w:color w:val="000000" w:themeColor="text1"/>
          <w14:textFill>
            <w14:solidFill>
              <w14:schemeClr w14:val="tx1"/>
            </w14:solidFill>
          </w14:textFill>
        </w:rPr>
        <w:t>1</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 报价货币（实质性要求）</w:t>
      </w:r>
    </w:p>
    <w:p>
      <w:pPr>
        <w:ind w:firstLine="468" w:firstLineChars="195"/>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本次招标项目的</w:t>
      </w:r>
      <w:r>
        <w:rPr>
          <w:rFonts w:hint="eastAsia" w:ascii="宋体" w:hAnsi="宋体"/>
          <w:color w:val="000000" w:themeColor="text1"/>
          <w14:textFill>
            <w14:solidFill>
              <w14:schemeClr w14:val="tx1"/>
            </w14:solidFill>
          </w14:textFill>
        </w:rPr>
        <w:t>报价货币为</w:t>
      </w:r>
      <w:r>
        <w:rPr>
          <w:rFonts w:hint="eastAsia" w:ascii="宋体" w:hAnsi="宋体"/>
          <w:bCs/>
          <w:color w:val="000000" w:themeColor="text1"/>
          <w14:textFill>
            <w14:solidFill>
              <w14:schemeClr w14:val="tx1"/>
            </w14:solidFill>
          </w14:textFill>
        </w:rPr>
        <w:t>人民币，报价以招标文件规定为准。</w:t>
      </w:r>
    </w:p>
    <w:bookmarkEnd w:id="70"/>
    <w:p>
      <w:pPr>
        <w:pStyle w:val="4"/>
        <w:keepNext w:val="0"/>
        <w:keepLines w:val="0"/>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.响应文件格式</w:t>
      </w:r>
    </w:p>
    <w:p>
      <w:pPr>
        <w:ind w:left="2" w:leftChars="1" w:firstLine="480"/>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1</w:t>
      </w:r>
      <w:r>
        <w:rPr>
          <w:rFonts w:ascii="宋体" w:hAnsi="宋体"/>
          <w:bCs/>
          <w:color w:val="000000" w:themeColor="text1"/>
          <w14:textFill>
            <w14:solidFill>
              <w14:schemeClr w14:val="tx1"/>
            </w14:solidFill>
          </w14:textFill>
        </w:rPr>
        <w:t>5</w:t>
      </w:r>
      <w:r>
        <w:rPr>
          <w:rFonts w:hint="eastAsia" w:ascii="宋体" w:hAnsi="宋体"/>
          <w:bCs/>
          <w:color w:val="000000" w:themeColor="text1"/>
          <w14:textFill>
            <w14:solidFill>
              <w14:schemeClr w14:val="tx1"/>
            </w14:solidFill>
          </w14:textFill>
        </w:rPr>
        <w:t>.1 投标人应执行招标文件第五章的规定要求。</w:t>
      </w:r>
    </w:p>
    <w:p>
      <w:pPr>
        <w:ind w:left="2" w:leftChars="1"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5</w:t>
      </w:r>
      <w:r>
        <w:rPr>
          <w:rFonts w:hint="eastAsia" w:ascii="宋体" w:hAnsi="宋体"/>
          <w:color w:val="000000" w:themeColor="text1"/>
          <w14:textFill>
            <w14:solidFill>
              <w14:schemeClr w14:val="tx1"/>
            </w14:solidFill>
          </w14:textFill>
        </w:rPr>
        <w:t>.2 对于没有格式要求的招标文件由投标人自行编写。</w:t>
      </w:r>
    </w:p>
    <w:p>
      <w:pPr>
        <w:pStyle w:val="4"/>
        <w:ind w:firstLine="482"/>
        <w:rPr>
          <w:color w:val="000000" w:themeColor="text1"/>
          <w14:textFill>
            <w14:solidFill>
              <w14:schemeClr w14:val="tx1"/>
            </w14:solidFill>
          </w14:textFill>
        </w:rPr>
      </w:pPr>
      <w:bookmarkStart w:id="71" w:name="_Toc183582224"/>
      <w:bookmarkStart w:id="72" w:name="_Toc217446051"/>
      <w:bookmarkStart w:id="73" w:name="_Toc183682361"/>
      <w:r>
        <w:rPr>
          <w:rFonts w:hint="eastAsia"/>
          <w:color w:val="000000" w:themeColor="text1"/>
          <w14:textFill>
            <w14:solidFill>
              <w14:schemeClr w14:val="tx1"/>
            </w14:solidFill>
          </w14:textFill>
        </w:rPr>
        <w:t>1</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.响应文件的编制和签署</w:t>
      </w:r>
    </w:p>
    <w:p>
      <w:pPr>
        <w:ind w:firstLine="468" w:firstLineChars="195"/>
        <w:rPr>
          <w:rFonts w:ascii="宋体" w:hAnsi="宋体"/>
          <w:bC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6</w:t>
      </w:r>
      <w:r>
        <w:rPr>
          <w:rFonts w:hint="eastAsia" w:ascii="宋体" w:hAnsi="宋体"/>
          <w:color w:val="000000" w:themeColor="text1"/>
          <w14:textFill>
            <w14:solidFill>
              <w14:schemeClr w14:val="tx1"/>
            </w14:solidFill>
          </w14:textFill>
        </w:rPr>
        <w:t>.1</w:t>
      </w:r>
      <w:r>
        <w:rPr>
          <w:rFonts w:hint="eastAsia" w:ascii="宋体" w:hAnsi="宋体"/>
          <w:b/>
          <w:bCs/>
          <w:color w:val="000000" w:themeColor="text1"/>
          <w14:textFill>
            <w14:solidFill>
              <w14:schemeClr w14:val="tx1"/>
            </w14:solidFill>
          </w14:textFill>
        </w:rPr>
        <w:t>响应文件正本</w:t>
      </w:r>
      <w:r>
        <w:rPr>
          <w:rFonts w:ascii="宋体" w:hAnsi="宋体"/>
          <w:b/>
          <w:bCs/>
          <w:color w:val="000000" w:themeColor="text1"/>
          <w14:textFill>
            <w14:solidFill>
              <w14:schemeClr w14:val="tx1"/>
            </w14:solidFill>
          </w14:textFill>
        </w:rPr>
        <w:t>1</w:t>
      </w:r>
      <w:r>
        <w:rPr>
          <w:rFonts w:hint="eastAsia" w:ascii="宋体" w:hAnsi="宋体"/>
          <w:b/>
          <w:bCs/>
          <w:color w:val="000000" w:themeColor="text1"/>
          <w14:textFill>
            <w14:solidFill>
              <w14:schemeClr w14:val="tx1"/>
            </w14:solidFill>
          </w14:textFill>
        </w:rPr>
        <w:t>份、副本</w:t>
      </w:r>
      <w:r>
        <w:rPr>
          <w:rFonts w:ascii="宋体" w:hAnsi="宋体"/>
          <w:b/>
          <w:bCs/>
          <w:color w:val="000000" w:themeColor="text1"/>
          <w14:textFill>
            <w14:solidFill>
              <w14:schemeClr w14:val="tx1"/>
            </w14:solidFill>
          </w14:textFill>
        </w:rPr>
        <w:t>1</w:t>
      </w:r>
      <w:r>
        <w:rPr>
          <w:rFonts w:hint="eastAsia" w:ascii="宋体" w:hAnsi="宋体"/>
          <w:b/>
          <w:bCs/>
          <w:color w:val="000000" w:themeColor="text1"/>
          <w14:textFill>
            <w14:solidFill>
              <w14:schemeClr w14:val="tx1"/>
            </w14:solidFill>
          </w14:textFill>
        </w:rPr>
        <w:t>份</w:t>
      </w:r>
      <w:r>
        <w:rPr>
          <w:rFonts w:hint="eastAsia" w:ascii="宋体" w:hAnsi="宋体"/>
          <w:bCs/>
          <w:color w:val="000000" w:themeColor="text1"/>
          <w14:textFill>
            <w14:solidFill>
              <w14:schemeClr w14:val="tx1"/>
            </w14:solidFill>
          </w14:textFill>
        </w:rPr>
        <w:t>，并在其封面上清楚地标明响应文件、招标项目名称及名称（若有）、投标人名称以及“正本”或“副本”字样。若正本和副本有不一致的内容，以正本书面响应文件为准。</w:t>
      </w:r>
    </w:p>
    <w:p>
      <w:pPr>
        <w:ind w:firstLine="468" w:firstLineChars="195"/>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1</w:t>
      </w:r>
      <w:r>
        <w:rPr>
          <w:rFonts w:ascii="宋体" w:hAnsi="宋体"/>
          <w:bCs/>
          <w:color w:val="000000" w:themeColor="text1"/>
          <w14:textFill>
            <w14:solidFill>
              <w14:schemeClr w14:val="tx1"/>
            </w14:solidFill>
          </w14:textFill>
        </w:rPr>
        <w:t>6</w:t>
      </w:r>
      <w:r>
        <w:rPr>
          <w:rFonts w:hint="eastAsia" w:ascii="宋体" w:hAnsi="宋体"/>
          <w:bCs/>
          <w:color w:val="000000" w:themeColor="text1"/>
          <w14:textFill>
            <w14:solidFill>
              <w14:schemeClr w14:val="tx1"/>
            </w14:solidFill>
          </w14:textFill>
        </w:rPr>
        <w:t xml:space="preserve">.2 </w:t>
      </w:r>
      <w:bookmarkEnd w:id="71"/>
      <w:bookmarkEnd w:id="72"/>
      <w:bookmarkEnd w:id="73"/>
      <w:r>
        <w:rPr>
          <w:rFonts w:hint="eastAsia" w:ascii="宋体" w:hAnsi="宋体"/>
          <w:bCs/>
          <w:color w:val="000000" w:themeColor="text1"/>
          <w14:textFill>
            <w14:solidFill>
              <w14:schemeClr w14:val="tx1"/>
            </w14:solidFill>
          </w14:textFill>
        </w:rPr>
        <w:t xml:space="preserve"> 响应文件正本和副本均需在规定签章处签字和盖章。响应文件副本可采用正本的复印件。</w:t>
      </w:r>
    </w:p>
    <w:p>
      <w:pPr>
        <w:tabs>
          <w:tab w:val="left" w:pos="1095"/>
        </w:tabs>
        <w:ind w:firstLine="460" w:firstLineChars="192"/>
        <w:rPr>
          <w:rFonts w:ascii="宋体" w:hAnsi="宋体"/>
          <w:color w:val="000000" w:themeColor="text1"/>
          <w14:textFill>
            <w14:solidFill>
              <w14:schemeClr w14:val="tx1"/>
            </w14:solidFill>
          </w14:textFill>
        </w:rPr>
      </w:pPr>
      <w:bookmarkStart w:id="74" w:name="_Toc77400781"/>
      <w:bookmarkStart w:id="75" w:name="_Toc183582226"/>
      <w:bookmarkStart w:id="76" w:name="_Toc183682363"/>
      <w:bookmarkStart w:id="77" w:name="_Toc217446053"/>
      <w:bookmarkStart w:id="78" w:name="_Toc89075877"/>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6</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响应文件的打印和书写应清楚工整，任何行间插字、涂改或增删，必须由投标人的法定代表人或其授权代表签字并盖投标人公章。字迹潦草、表达不清或可能导致非唯一理解的响应文件可能被作为无效处理。</w:t>
      </w:r>
    </w:p>
    <w:p>
      <w:pPr>
        <w:tabs>
          <w:tab w:val="left" w:pos="1080"/>
        </w:tabs>
        <w:ind w:firstLine="460" w:firstLineChars="192"/>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6</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4</w:t>
      </w:r>
      <w:r>
        <w:rPr>
          <w:rFonts w:hint="eastAsia" w:ascii="宋体" w:hAnsi="宋体"/>
          <w:color w:val="000000" w:themeColor="text1"/>
          <w14:textFill>
            <w14:solidFill>
              <w14:schemeClr w14:val="tx1"/>
            </w14:solidFill>
          </w14:textFill>
        </w:rPr>
        <w:t>响应文件应由投标人法定代表人/主要负责人/本人或其授权代表在响应文件要求的地方签字（或加盖私人印章），要求加盖公章的地方加盖单位公章，不得使用专用章（如经济合同章、投标专用章等）或下属单位印章代替。</w:t>
      </w:r>
    </w:p>
    <w:p>
      <w:pPr>
        <w:tabs>
          <w:tab w:val="left" w:pos="1080"/>
        </w:tabs>
        <w:ind w:firstLine="460" w:firstLineChars="192"/>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6</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5</w:t>
      </w:r>
      <w:r>
        <w:rPr>
          <w:rFonts w:hint="eastAsia" w:ascii="宋体" w:hAnsi="宋体"/>
          <w:color w:val="000000" w:themeColor="text1"/>
          <w14:textFill>
            <w14:solidFill>
              <w14:schemeClr w14:val="tx1"/>
            </w14:solidFill>
          </w14:textFill>
        </w:rPr>
        <w:t>响应文件正本和副本需要逐页编目编码。</w:t>
      </w:r>
    </w:p>
    <w:p>
      <w:pPr>
        <w:tabs>
          <w:tab w:val="left" w:pos="1080"/>
        </w:tabs>
        <w:ind w:firstLine="460" w:firstLineChars="192"/>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6</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6</w:t>
      </w:r>
      <w:r>
        <w:rPr>
          <w:rFonts w:hint="eastAsia" w:ascii="宋体" w:hAnsi="宋体"/>
          <w:color w:val="000000" w:themeColor="text1"/>
          <w14:textFill>
            <w14:solidFill>
              <w14:schemeClr w14:val="tx1"/>
            </w14:solidFill>
          </w14:textFill>
        </w:rPr>
        <w:t>响应文件正本和副本应当采用胶装方式装订成册，不得散装或者合页装订。</w:t>
      </w:r>
    </w:p>
    <w:p>
      <w:pPr>
        <w:tabs>
          <w:tab w:val="left" w:pos="1080"/>
        </w:tabs>
        <w:ind w:firstLine="460" w:firstLineChars="192"/>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6</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7</w:t>
      </w:r>
      <w:r>
        <w:rPr>
          <w:rFonts w:hint="eastAsia" w:ascii="宋体" w:hAnsi="宋体"/>
          <w:color w:val="000000" w:themeColor="text1"/>
          <w14:textFill>
            <w14:solidFill>
              <w14:schemeClr w14:val="tx1"/>
            </w14:solidFill>
          </w14:textFill>
        </w:rPr>
        <w:t>响应文件应根据招标文件的要求制作，签署、盖章。</w:t>
      </w:r>
    </w:p>
    <w:p>
      <w:pPr>
        <w:tabs>
          <w:tab w:val="left" w:pos="1080"/>
        </w:tabs>
        <w:ind w:firstLine="460" w:firstLineChars="192"/>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6</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8</w:t>
      </w:r>
      <w:r>
        <w:rPr>
          <w:rFonts w:hint="eastAsia" w:ascii="宋体" w:hAnsi="宋体"/>
          <w:color w:val="000000" w:themeColor="text1"/>
          <w14:textFill>
            <w14:solidFill>
              <w14:schemeClr w14:val="tx1"/>
            </w14:solidFill>
          </w14:textFill>
        </w:rPr>
        <w:t>响应文件统一用</w:t>
      </w:r>
      <w:r>
        <w:rPr>
          <w:rFonts w:ascii="宋体" w:hAnsi="宋体"/>
          <w:color w:val="000000" w:themeColor="text1"/>
          <w14:textFill>
            <w14:solidFill>
              <w14:schemeClr w14:val="tx1"/>
            </w14:solidFill>
          </w14:textFill>
        </w:rPr>
        <w:t>A4</w:t>
      </w:r>
      <w:r>
        <w:rPr>
          <w:rFonts w:hint="eastAsia" w:ascii="宋体" w:hAnsi="宋体"/>
          <w:color w:val="000000" w:themeColor="text1"/>
          <w14:textFill>
            <w14:solidFill>
              <w14:schemeClr w14:val="tx1"/>
            </w14:solidFill>
          </w14:textFill>
        </w:rPr>
        <w:t>幅面纸印制，除另有规定外。</w:t>
      </w:r>
    </w:p>
    <w:p>
      <w:pPr>
        <w:pStyle w:val="4"/>
        <w:ind w:firstLine="482"/>
        <w:rPr>
          <w:color w:val="000000" w:themeColor="text1"/>
          <w14:textFill>
            <w14:solidFill>
              <w14:schemeClr w14:val="tx1"/>
            </w14:solidFill>
          </w14:textFill>
        </w:rPr>
      </w:pPr>
      <w:r>
        <w:rPr>
          <w:color w:val="000000" w:themeColor="text1"/>
          <w:lang w:val="en-US"/>
          <w14:textFill>
            <w14:solidFill>
              <w14:schemeClr w14:val="tx1"/>
            </w14:solidFill>
          </w14:textFill>
        </w:rPr>
        <w:t>1</w:t>
      </w:r>
      <w:r>
        <w:rPr>
          <w:color w:val="000000" w:themeColor="text1"/>
          <w14:textFill>
            <w14:solidFill>
              <w14:schemeClr w14:val="tx1"/>
            </w14:solidFill>
          </w14:textFill>
        </w:rPr>
        <w:t>7</w:t>
      </w:r>
      <w:r>
        <w:rPr>
          <w:rFonts w:hint="eastAsia"/>
          <w:color w:val="000000" w:themeColor="text1"/>
          <w14:textFill>
            <w14:solidFill>
              <w14:schemeClr w14:val="tx1"/>
            </w14:solidFill>
          </w14:textFill>
        </w:rPr>
        <w:t>.响应文件的密封和标注（不属于本项目招标小组评审范畴，由招标人在接收响应文件时及时处理）</w:t>
      </w:r>
    </w:p>
    <w:p>
      <w:pPr>
        <w:tabs>
          <w:tab w:val="left" w:pos="1080"/>
        </w:tabs>
        <w:ind w:firstLine="460" w:firstLineChars="192"/>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17.1 响应文件可以单独密封包装，也可以所有响应文件密封包装在一个密封袋内。</w:t>
      </w:r>
    </w:p>
    <w:p>
      <w:pPr>
        <w:tabs>
          <w:tab w:val="left" w:pos="1080"/>
        </w:tabs>
        <w:ind w:firstLine="460" w:firstLineChars="192"/>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17.2 响应文件密封袋的最外层应清楚地标明招标项目名称及名称（若有）、投标人名称。</w:t>
      </w:r>
    </w:p>
    <w:p>
      <w:pPr>
        <w:tabs>
          <w:tab w:val="left" w:pos="1080"/>
        </w:tabs>
        <w:ind w:firstLine="460" w:firstLineChars="192"/>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17.3 所有外层密封袋的封口处应粘贴牢固。</w:t>
      </w:r>
    </w:p>
    <w:p>
      <w:pPr>
        <w:tabs>
          <w:tab w:val="left" w:pos="1080"/>
        </w:tabs>
        <w:ind w:firstLine="460" w:firstLineChars="192"/>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17.4 未按以上要求进行密封和标注的响应文件，招标人将拒收或者在时间允许的范围内，要求修改完善后接收。</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18</w:t>
      </w:r>
      <w:r>
        <w:rPr>
          <w:rFonts w:hint="eastAsia"/>
          <w:color w:val="000000" w:themeColor="text1"/>
          <w14:textFill>
            <w14:solidFill>
              <w14:schemeClr w14:val="tx1"/>
            </w14:solidFill>
          </w14:textFill>
        </w:rPr>
        <w:t>.响应文件的递交</w:t>
      </w:r>
    </w:p>
    <w:p>
      <w:pPr>
        <w:tabs>
          <w:tab w:val="left" w:pos="1080"/>
        </w:tabs>
        <w:ind w:firstLine="460" w:firstLineChars="192"/>
        <w:rPr>
          <w:rFonts w:ascii="宋体"/>
          <w:color w:val="000000" w:themeColor="text1"/>
          <w14:textFill>
            <w14:solidFill>
              <w14:schemeClr w14:val="tx1"/>
            </w14:solidFill>
          </w14:textFill>
        </w:rPr>
      </w:pPr>
      <w:r>
        <w:rPr>
          <w:rFonts w:ascii="宋体"/>
          <w:color w:val="000000" w:themeColor="text1"/>
          <w14:textFill>
            <w14:solidFill>
              <w14:schemeClr w14:val="tx1"/>
            </w14:solidFill>
          </w14:textFill>
        </w:rPr>
        <w:t>18</w:t>
      </w:r>
      <w:r>
        <w:rPr>
          <w:rFonts w:hint="eastAsia" w:ascii="宋体"/>
          <w:color w:val="000000" w:themeColor="text1"/>
          <w14:textFill>
            <w14:solidFill>
              <w14:schemeClr w14:val="tx1"/>
            </w14:solidFill>
          </w14:textFill>
        </w:rPr>
        <w:t>.1响应文件应于递交响应文件截止时间前送达指定地点，招标人拒绝接收截止时间后送达的响应文件。</w:t>
      </w:r>
    </w:p>
    <w:p>
      <w:pPr>
        <w:tabs>
          <w:tab w:val="left" w:pos="1080"/>
        </w:tabs>
        <w:ind w:firstLine="460" w:firstLineChars="192"/>
        <w:rPr>
          <w:rFonts w:ascii="宋体"/>
          <w:color w:val="000000" w:themeColor="text1"/>
          <w14:textFill>
            <w14:solidFill>
              <w14:schemeClr w14:val="tx1"/>
            </w14:solidFill>
          </w14:textFill>
        </w:rPr>
      </w:pPr>
      <w:r>
        <w:rPr>
          <w:rFonts w:ascii="宋体"/>
          <w:color w:val="000000" w:themeColor="text1"/>
          <w14:textFill>
            <w14:solidFill>
              <w14:schemeClr w14:val="tx1"/>
            </w14:solidFill>
          </w14:textFill>
        </w:rPr>
        <w:t>18</w:t>
      </w:r>
      <w:r>
        <w:rPr>
          <w:rFonts w:hint="eastAsia" w:ascii="宋体"/>
          <w:color w:val="000000" w:themeColor="text1"/>
          <w14:textFill>
            <w14:solidFill>
              <w14:schemeClr w14:val="tx1"/>
            </w14:solidFill>
          </w14:textFill>
        </w:rPr>
        <w:t>.2 报价表在招标后，招标小组要求投标人进行报价时递交。</w:t>
      </w:r>
    </w:p>
    <w:p>
      <w:pPr>
        <w:tabs>
          <w:tab w:val="left" w:pos="1080"/>
        </w:tabs>
        <w:ind w:firstLine="460" w:firstLineChars="192"/>
        <w:rPr>
          <w:rFonts w:ascii="宋体"/>
          <w:color w:val="000000" w:themeColor="text1"/>
          <w14:textFill>
            <w14:solidFill>
              <w14:schemeClr w14:val="tx1"/>
            </w14:solidFill>
          </w14:textFill>
        </w:rPr>
      </w:pPr>
      <w:r>
        <w:rPr>
          <w:rFonts w:ascii="宋体"/>
          <w:color w:val="000000" w:themeColor="text1"/>
          <w14:textFill>
            <w14:solidFill>
              <w14:schemeClr w14:val="tx1"/>
            </w14:solidFill>
          </w14:textFill>
        </w:rPr>
        <w:t>18</w:t>
      </w:r>
      <w:r>
        <w:rPr>
          <w:rFonts w:hint="eastAsia" w:ascii="宋体"/>
          <w:color w:val="000000" w:themeColor="text1"/>
          <w14:textFill>
            <w14:solidFill>
              <w14:schemeClr w14:val="tx1"/>
            </w14:solidFill>
          </w14:textFill>
        </w:rPr>
        <w:t>.</w:t>
      </w:r>
      <w:r>
        <w:rPr>
          <w:rFonts w:ascii="宋体"/>
          <w:color w:val="000000" w:themeColor="text1"/>
          <w14:textFill>
            <w14:solidFill>
              <w14:schemeClr w14:val="tx1"/>
            </w14:solidFill>
          </w14:textFill>
        </w:rPr>
        <w:t>3</w:t>
      </w:r>
      <w:r>
        <w:rPr>
          <w:rFonts w:hint="eastAsia" w:ascii="宋体"/>
          <w:color w:val="000000" w:themeColor="text1"/>
          <w14:textFill>
            <w14:solidFill>
              <w14:schemeClr w14:val="tx1"/>
            </w14:solidFill>
          </w14:textFill>
        </w:rPr>
        <w:t>本次招标不接收邮寄的响应文件。</w:t>
      </w:r>
    </w:p>
    <w:bookmarkEnd w:id="74"/>
    <w:bookmarkEnd w:id="75"/>
    <w:bookmarkEnd w:id="76"/>
    <w:bookmarkEnd w:id="77"/>
    <w:bookmarkEnd w:id="78"/>
    <w:p>
      <w:pPr>
        <w:pStyle w:val="4"/>
        <w:ind w:firstLine="482"/>
        <w:rPr>
          <w:rFonts w:hAnsi="宋体"/>
          <w:color w:val="000000" w:themeColor="text1"/>
          <w14:textFill>
            <w14:solidFill>
              <w14:schemeClr w14:val="tx1"/>
            </w14:solidFill>
          </w14:textFill>
        </w:rPr>
      </w:pPr>
      <w:bookmarkStart w:id="79" w:name="_Toc183682365"/>
      <w:bookmarkStart w:id="80" w:name="_Toc183582228"/>
      <w:bookmarkStart w:id="81" w:name="_Toc217446055"/>
      <w:r>
        <w:rPr>
          <w:rFonts w:hint="eastAsia" w:hAnsi="宋体"/>
          <w:color w:val="000000" w:themeColor="text1"/>
          <w14:textFill>
            <w14:solidFill>
              <w14:schemeClr w14:val="tx1"/>
            </w14:solidFill>
          </w14:textFill>
        </w:rPr>
        <w:t>19.响应文件的修改和撤回（补充、修改响应文件的</w:t>
      </w:r>
      <w:r>
        <w:rPr>
          <w:rFonts w:hint="eastAsia"/>
          <w:color w:val="000000" w:themeColor="text1"/>
          <w14:textFill>
            <w14:solidFill>
              <w14:schemeClr w14:val="tx1"/>
            </w14:solidFill>
          </w14:textFill>
        </w:rPr>
        <w:t>密封和标注按照本章“17.响应文件的密封和标注”规定处理</w:t>
      </w:r>
      <w:r>
        <w:rPr>
          <w:rFonts w:hint="eastAsia" w:hAnsi="宋体"/>
          <w:color w:val="000000" w:themeColor="text1"/>
          <w14:textFill>
            <w14:solidFill>
              <w14:schemeClr w14:val="tx1"/>
            </w14:solidFill>
          </w14:textFill>
        </w:rPr>
        <w:t>）</w:t>
      </w:r>
    </w:p>
    <w:p>
      <w:pPr>
        <w:pStyle w:val="7"/>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19</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1投标人在提交响应文件后可对其响应文件进行修改或撤回，但该修改或撤回的书面通知须在递交截止时间之前送达招标人，补充、修改的内容作为响应文件的组成部分。且该通知需经正式授权的投标人代表签字方为有效。 投标人在提交响应文件截止时间前，可以对所提交的响应文件进行补充、修改或者撤回，补充、修改的内容与响应文件不一致的，以补充、修改的内容为准。</w:t>
      </w:r>
    </w:p>
    <w:p>
      <w:pPr>
        <w:adjustRightInd w:val="0"/>
        <w:snapToGrid w:val="0"/>
        <w:ind w:firstLine="48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19</w:t>
      </w:r>
      <w:r>
        <w:rPr>
          <w:rFonts w:hAnsi="宋体"/>
          <w:color w:val="000000" w:themeColor="text1"/>
          <w14:textFill>
            <w14:solidFill>
              <w14:schemeClr w14:val="tx1"/>
            </w14:solidFill>
          </w14:textFill>
        </w:rPr>
        <w:t>.</w:t>
      </w:r>
      <w:r>
        <w:rPr>
          <w:rFonts w:hint="eastAsia" w:hAnsi="宋体"/>
          <w:color w:val="000000" w:themeColor="text1"/>
          <w14:textFill>
            <w14:solidFill>
              <w14:schemeClr w14:val="tx1"/>
            </w14:solidFill>
          </w14:textFill>
        </w:rPr>
        <w:t>2投标人对响应文件修改的书面材料或撤回的通知应该按规定进行编写、密封、标注和递送，并注明“修改响应文件”字样。</w:t>
      </w:r>
    </w:p>
    <w:p>
      <w:pPr>
        <w:adjustRightInd w:val="0"/>
        <w:snapToGrid w:val="0"/>
        <w:ind w:firstLine="48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19</w:t>
      </w:r>
      <w:r>
        <w:rPr>
          <w:rFonts w:hAnsi="宋体"/>
          <w:color w:val="000000" w:themeColor="text1"/>
          <w14:textFill>
            <w14:solidFill>
              <w14:schemeClr w14:val="tx1"/>
            </w14:solidFill>
          </w14:textFill>
        </w:rPr>
        <w:t>.</w:t>
      </w:r>
      <w:r>
        <w:rPr>
          <w:rFonts w:hint="eastAsia" w:hAnsi="宋体"/>
          <w:color w:val="000000" w:themeColor="text1"/>
          <w14:textFill>
            <w14:solidFill>
              <w14:schemeClr w14:val="tx1"/>
            </w14:solidFill>
          </w14:textFill>
        </w:rPr>
        <w:t>3投标人不得在递交截止时间起至响应文件有效期期满前撤销其响应文件。否则其招标保证金将按第二部分投标人招标须知相关规定被没收。</w:t>
      </w:r>
    </w:p>
    <w:p>
      <w:pPr>
        <w:ind w:firstLine="48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19.4 响应文件中报价如果出现下列不一致的，可按以下原则进行修改：</w:t>
      </w: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（一）</w:t>
      </w:r>
      <w:r>
        <w:rPr>
          <w:rFonts w:hint="eastAsia" w:ascii="宋体" w:hAnsi="宋体" w:cs="宋体"/>
          <w:color w:val="000000" w:themeColor="text1"/>
          <w:kern w:val="0"/>
          <w14:textFill>
            <w14:solidFill>
              <w14:schemeClr w14:val="tx1"/>
            </w14:solidFill>
          </w14:textFill>
        </w:rPr>
        <w:t>大写金额和小写金额不一致的，以大写金额为准</w:t>
      </w:r>
      <w:r>
        <w:rPr>
          <w:rFonts w:hint="eastAsia" w:ascii="宋体" w:hAnsi="宋体"/>
          <w:color w:val="000000" w:themeColor="text1"/>
          <w14:textFill>
            <w14:solidFill>
              <w14:schemeClr w14:val="tx1"/>
            </w14:solidFill>
          </w14:textFill>
        </w:rPr>
        <w:t>，但大写金额文字存在错误的，应当先对大写金额的文字错误进行澄清、说明或者更正，再行修正。</w:t>
      </w: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（二）</w:t>
      </w:r>
      <w:r>
        <w:rPr>
          <w:rFonts w:hint="eastAsia" w:ascii="宋体" w:hAnsi="宋体" w:cs="宋体"/>
          <w:color w:val="000000" w:themeColor="text1"/>
          <w:kern w:val="0"/>
          <w14:textFill>
            <w14:solidFill>
              <w14:schemeClr w14:val="tx1"/>
            </w14:solidFill>
          </w14:textFill>
        </w:rPr>
        <w:t>总价金额与按单价汇总金额不一致的，以单价金额计算结果为准，</w:t>
      </w:r>
      <w:r>
        <w:rPr>
          <w:rFonts w:hint="eastAsia" w:ascii="宋体" w:hAnsi="宋体"/>
          <w:color w:val="000000" w:themeColor="text1"/>
          <w14:textFill>
            <w14:solidFill>
              <w14:schemeClr w14:val="tx1"/>
            </w14:solidFill>
          </w14:textFill>
        </w:rPr>
        <w:t>但</w:t>
      </w:r>
      <w:r>
        <w:rPr>
          <w:rFonts w:hint="eastAsia" w:ascii="宋体" w:hAnsi="宋体" w:cs="宋体"/>
          <w:color w:val="000000" w:themeColor="text1"/>
          <w:kern w:val="0"/>
          <w14:textFill>
            <w14:solidFill>
              <w14:schemeClr w14:val="tx1"/>
            </w14:solidFill>
          </w14:textFill>
        </w:rPr>
        <w:t>单价或者单价汇总金额存在数字或者</w:t>
      </w:r>
      <w:r>
        <w:rPr>
          <w:rFonts w:hint="eastAsia" w:ascii="宋体" w:hAnsi="宋体"/>
          <w:color w:val="000000" w:themeColor="text1"/>
          <w14:textFill>
            <w14:solidFill>
              <w14:schemeClr w14:val="tx1"/>
            </w14:solidFill>
          </w14:textFill>
        </w:rPr>
        <w:t>文字错误的，应当先对</w:t>
      </w:r>
      <w:r>
        <w:rPr>
          <w:rFonts w:hint="eastAsia" w:ascii="宋体" w:hAnsi="宋体" w:cs="宋体"/>
          <w:color w:val="000000" w:themeColor="text1"/>
          <w:kern w:val="0"/>
          <w14:textFill>
            <w14:solidFill>
              <w14:schemeClr w14:val="tx1"/>
            </w14:solidFill>
          </w14:textFill>
        </w:rPr>
        <w:t>数字或者</w:t>
      </w:r>
      <w:r>
        <w:rPr>
          <w:rFonts w:hint="eastAsia" w:ascii="宋体" w:hAnsi="宋体"/>
          <w:color w:val="000000" w:themeColor="text1"/>
          <w14:textFill>
            <w14:solidFill>
              <w14:schemeClr w14:val="tx1"/>
            </w14:solidFill>
          </w14:textFill>
        </w:rPr>
        <w:t>文字错误进行澄清、说明或者更正，再行修正。</w:t>
      </w: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（三）单价金额小数点</w:t>
      </w:r>
      <w:r>
        <w:rPr>
          <w:rFonts w:hint="eastAsia" w:ascii="宋体" w:hAnsi="宋体" w:cs="宋体"/>
          <w:color w:val="000000" w:themeColor="text1"/>
          <w:kern w:val="0"/>
          <w14:textFill>
            <w14:solidFill>
              <w14:schemeClr w14:val="tx1"/>
            </w14:solidFill>
          </w14:textFill>
        </w:rPr>
        <w:t>或者百分比有明显错位的</w:t>
      </w:r>
      <w:r>
        <w:rPr>
          <w:rFonts w:hint="eastAsia" w:ascii="宋体" w:hAnsi="宋体"/>
          <w:color w:val="000000" w:themeColor="text1"/>
          <w14:textFill>
            <w14:solidFill>
              <w14:schemeClr w14:val="tx1"/>
            </w14:solidFill>
          </w14:textFill>
        </w:rPr>
        <w:t>，以总价为准，修正单价。</w:t>
      </w:r>
    </w:p>
    <w:p>
      <w:pPr>
        <w:ind w:firstLine="48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同时出现两种以上不一致的，按照上述规定的顺序修正。修正后的报价经投标人确认后产生约束力，投标人不确认的，其响应文件作为无效处理。投标人确认采取书面且加盖单位公章或者投标人授权代表签字的方式。</w:t>
      </w:r>
    </w:p>
    <w:p>
      <w:pPr>
        <w:ind w:firstLine="480"/>
        <w:rPr>
          <w:rFonts w:ascii="宋体" w:hAnsi="宋体"/>
          <w:color w:val="000000" w:themeColor="text1"/>
          <w14:textFill>
            <w14:solidFill>
              <w14:schemeClr w14:val="tx1"/>
            </w14:solidFill>
          </w14:textFill>
        </w:rPr>
      </w:pPr>
      <w:r>
        <w:rPr>
          <w:rFonts w:hint="eastAsia"/>
          <w:color w:val="000000" w:themeColor="text1"/>
          <w14:textFill>
            <w14:solidFill>
              <w14:schemeClr w14:val="tx1"/>
            </w14:solidFill>
          </w14:textFill>
        </w:rPr>
        <w:t>19.5投标人对其提交的响应文件的真实性、合法性承担法律责任。</w:t>
      </w:r>
      <w:bookmarkEnd w:id="79"/>
      <w:bookmarkEnd w:id="80"/>
      <w:bookmarkEnd w:id="81"/>
    </w:p>
    <w:p>
      <w:pPr>
        <w:pStyle w:val="3"/>
        <w:keepNext w:val="0"/>
        <w:keepLines w:val="0"/>
        <w:spacing w:line="500" w:lineRule="exact"/>
        <w:ind w:firstLine="562"/>
        <w:rPr>
          <w:color w:val="000000" w:themeColor="text1"/>
          <w14:textFill>
            <w14:solidFill>
              <w14:schemeClr w14:val="tx1"/>
            </w14:solidFill>
          </w14:textFill>
        </w:rPr>
      </w:pPr>
      <w:bookmarkStart w:id="82" w:name="_Toc96446232"/>
      <w:bookmarkStart w:id="83" w:name="_Toc217446056"/>
      <w:bookmarkStart w:id="84" w:name="_Toc183582231"/>
      <w:bookmarkStart w:id="85" w:name="_Toc77400782"/>
      <w:bookmarkStart w:id="86" w:name="_Toc89075878"/>
      <w:bookmarkStart w:id="87" w:name="_Toc183682368"/>
      <w:r>
        <w:rPr>
          <w:rFonts w:hint="eastAsia"/>
          <w:color w:val="000000" w:themeColor="text1"/>
          <w14:textFill>
            <w14:solidFill>
              <w14:schemeClr w14:val="tx1"/>
            </w14:solidFill>
          </w14:textFill>
        </w:rPr>
        <w:t>五、评审</w:t>
      </w:r>
      <w:bookmarkEnd w:id="82"/>
    </w:p>
    <w:p>
      <w:pPr>
        <w:pStyle w:val="4"/>
        <w:ind w:firstLine="482"/>
        <w:rPr>
          <w:color w:val="000000" w:themeColor="text1"/>
          <w14:textFill>
            <w14:solidFill>
              <w14:schemeClr w14:val="tx1"/>
            </w14:solidFill>
          </w14:textFill>
        </w:rPr>
      </w:pPr>
      <w:bookmarkStart w:id="88" w:name="_Toc96446233"/>
      <w:r>
        <w:rPr>
          <w:rFonts w:hint="eastAsia"/>
          <w:color w:val="000000" w:themeColor="text1"/>
          <w14:textFill>
            <w14:solidFill>
              <w14:schemeClr w14:val="tx1"/>
            </w14:solidFill>
          </w14:textFill>
        </w:rPr>
        <w:t>2</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.招标小组的组建及其评审工作按照有关法律制度和本文件第六章的规定进行。</w:t>
      </w:r>
      <w:bookmarkEnd w:id="88"/>
    </w:p>
    <w:p>
      <w:pPr>
        <w:pStyle w:val="3"/>
        <w:keepNext w:val="0"/>
        <w:keepLines w:val="0"/>
        <w:spacing w:line="500" w:lineRule="exact"/>
        <w:ind w:firstLine="562"/>
        <w:rPr>
          <w:rFonts w:ascii="黑体" w:hAnsi="宋体"/>
          <w:color w:val="000000" w:themeColor="text1"/>
          <w14:textFill>
            <w14:solidFill>
              <w14:schemeClr w14:val="tx1"/>
            </w14:solidFill>
          </w14:textFill>
        </w:rPr>
      </w:pPr>
      <w:bookmarkStart w:id="89" w:name="_Toc96446234"/>
      <w:r>
        <w:rPr>
          <w:rFonts w:hint="eastAsia" w:ascii="黑体" w:hAnsi="宋体"/>
          <w:color w:val="000000" w:themeColor="text1"/>
          <w14:textFill>
            <w14:solidFill>
              <w14:schemeClr w14:val="tx1"/>
            </w14:solidFill>
          </w14:textFill>
        </w:rPr>
        <w:t>六、成交事项</w:t>
      </w:r>
      <w:bookmarkEnd w:id="89"/>
    </w:p>
    <w:p>
      <w:pPr>
        <w:pStyle w:val="4"/>
        <w:ind w:firstLine="482"/>
        <w:rPr>
          <w:color w:val="000000" w:themeColor="text1"/>
          <w14:textFill>
            <w14:solidFill>
              <w14:schemeClr w14:val="tx1"/>
            </w14:solidFill>
          </w14:textFill>
        </w:rPr>
      </w:pPr>
      <w:bookmarkStart w:id="90" w:name="_Toc96446235"/>
      <w:r>
        <w:rPr>
          <w:rFonts w:hint="eastAsia"/>
          <w:color w:val="000000" w:themeColor="text1"/>
          <w14:textFill>
            <w14:solidFill>
              <w14:schemeClr w14:val="tx1"/>
            </w14:solidFill>
          </w14:textFill>
        </w:rPr>
        <w:t>2</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.确定成交投标人</w:t>
      </w:r>
      <w:bookmarkEnd w:id="90"/>
    </w:p>
    <w:p>
      <w:pPr>
        <w:ind w:firstLine="480"/>
        <w:rPr>
          <w:color w:val="000000" w:themeColor="text1"/>
          <w14:textFill>
            <w14:solidFill>
              <w14:schemeClr w14:val="tx1"/>
            </w14:solidFill>
          </w14:textFill>
        </w:rPr>
      </w:pPr>
      <w:bookmarkStart w:id="91" w:name="_Toc96446237"/>
      <w:r>
        <w:rPr>
          <w:rFonts w:hint="eastAsia"/>
          <w:color w:val="000000" w:themeColor="text1"/>
          <w14:textFill>
            <w14:solidFill>
              <w14:schemeClr w14:val="tx1"/>
            </w14:solidFill>
          </w14:textFill>
        </w:rPr>
        <w:t>21.1招标人自评审结束后</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个工作日内将招标报告及有关资料提交招标人按流程确定成交投标人。</w:t>
      </w:r>
      <w:bookmarkEnd w:id="91"/>
    </w:p>
    <w:p>
      <w:pPr>
        <w:ind w:firstLine="480"/>
        <w:rPr>
          <w:color w:val="000000" w:themeColor="text1"/>
          <w14:textFill>
            <w14:solidFill>
              <w14:schemeClr w14:val="tx1"/>
            </w14:solidFill>
          </w14:textFill>
        </w:rPr>
      </w:pPr>
      <w:bookmarkStart w:id="92" w:name="_Toc96446238"/>
      <w:r>
        <w:rPr>
          <w:rFonts w:hint="eastAsia"/>
          <w:color w:val="000000" w:themeColor="text1"/>
          <w14:textFill>
            <w14:solidFill>
              <w14:schemeClr w14:val="tx1"/>
            </w14:solidFill>
          </w14:textFill>
        </w:rPr>
        <w:t>21.2</w:t>
      </w:r>
      <w:r>
        <w:rPr>
          <w:rFonts w:hint="eastAsia"/>
          <w:bCs/>
          <w:color w:val="000000" w:themeColor="text1"/>
          <w14:textFill>
            <w14:solidFill>
              <w14:schemeClr w14:val="tx1"/>
            </w14:solidFill>
          </w14:textFill>
        </w:rPr>
        <w:t>招标人收到评标报告及有关资料后，将在</w:t>
      </w:r>
      <w:r>
        <w:rPr>
          <w:bCs/>
          <w:color w:val="000000" w:themeColor="text1"/>
          <w14:textFill>
            <w14:solidFill>
              <w14:schemeClr w14:val="tx1"/>
            </w14:solidFill>
          </w14:textFill>
        </w:rPr>
        <w:t>10</w:t>
      </w:r>
      <w:r>
        <w:rPr>
          <w:rFonts w:hint="eastAsia"/>
          <w:bCs/>
          <w:color w:val="000000" w:themeColor="text1"/>
          <w14:textFill>
            <w14:solidFill>
              <w14:schemeClr w14:val="tx1"/>
            </w14:solidFill>
          </w14:textFill>
        </w:rPr>
        <w:t>个工作日内确定成交投标人，评标报告中成交候选投标人的推荐顺序将作为重要参考依据。</w:t>
      </w:r>
    </w:p>
    <w:bookmarkEnd w:id="92"/>
    <w:p>
      <w:pPr>
        <w:ind w:firstLine="480"/>
        <w:rPr>
          <w:color w:val="000000" w:themeColor="text1"/>
          <w14:textFill>
            <w14:solidFill>
              <w14:schemeClr w14:val="tx1"/>
            </w14:solidFill>
          </w14:textFill>
        </w:rPr>
      </w:pPr>
      <w:bookmarkStart w:id="93" w:name="_Toc96446239"/>
      <w:r>
        <w:rPr>
          <w:rFonts w:hint="eastAsia"/>
          <w:color w:val="000000" w:themeColor="text1"/>
          <w14:textFill>
            <w14:solidFill>
              <w14:schemeClr w14:val="tx1"/>
            </w14:solidFill>
          </w14:textFill>
        </w:rPr>
        <w:t>21.3招标人确定成交投标人过程中，发现成交候选投标人有下列情形之一的，应当不予确定其为成交投标人：</w:t>
      </w:r>
      <w:bookmarkEnd w:id="93"/>
    </w:p>
    <w:p>
      <w:pPr>
        <w:ind w:firstLine="480"/>
        <w:rPr>
          <w:color w:val="000000" w:themeColor="text1"/>
          <w14:textFill>
            <w14:solidFill>
              <w14:schemeClr w14:val="tx1"/>
            </w14:solidFill>
          </w14:textFill>
        </w:rPr>
      </w:pPr>
      <w:bookmarkStart w:id="94" w:name="_Toc96446240"/>
      <w:r>
        <w:rPr>
          <w:rFonts w:hint="eastAsia"/>
          <w:color w:val="000000" w:themeColor="text1"/>
          <w14:textFill>
            <w14:solidFill>
              <w14:schemeClr w14:val="tx1"/>
            </w14:solidFill>
          </w14:textFill>
        </w:rPr>
        <w:t>（1）发现成交候选投标人存在禁止参加本项目招标活动的违法行为的；</w:t>
      </w:r>
      <w:bookmarkEnd w:id="94"/>
    </w:p>
    <w:p>
      <w:pPr>
        <w:ind w:firstLine="480"/>
        <w:rPr>
          <w:color w:val="000000" w:themeColor="text1"/>
          <w14:textFill>
            <w14:solidFill>
              <w14:schemeClr w14:val="tx1"/>
            </w14:solidFill>
          </w14:textFill>
        </w:rPr>
      </w:pPr>
      <w:bookmarkStart w:id="95" w:name="_Toc96446241"/>
      <w:r>
        <w:rPr>
          <w:rFonts w:hint="eastAsia"/>
          <w:color w:val="000000" w:themeColor="text1"/>
          <w14:textFill>
            <w14:solidFill>
              <w14:schemeClr w14:val="tx1"/>
            </w14:solidFill>
          </w14:textFill>
        </w:rPr>
        <w:t>（2）成交候选投标人因不可抗力，不能继续参加招标活动；</w:t>
      </w:r>
      <w:bookmarkEnd w:id="95"/>
    </w:p>
    <w:p>
      <w:pPr>
        <w:ind w:firstLine="480"/>
        <w:rPr>
          <w:color w:val="000000" w:themeColor="text1"/>
          <w14:textFill>
            <w14:solidFill>
              <w14:schemeClr w14:val="tx1"/>
            </w14:solidFill>
          </w14:textFill>
        </w:rPr>
      </w:pPr>
      <w:bookmarkStart w:id="96" w:name="_Toc96446242"/>
      <w:r>
        <w:rPr>
          <w:rFonts w:hint="eastAsia"/>
          <w:color w:val="000000" w:themeColor="text1"/>
          <w14:textFill>
            <w14:solidFill>
              <w14:schemeClr w14:val="tx1"/>
            </w14:solidFill>
          </w14:textFill>
        </w:rPr>
        <w:t>（3）成交候选投标人无偿赠与或者低于成本价竞争；</w:t>
      </w:r>
      <w:bookmarkEnd w:id="96"/>
    </w:p>
    <w:p>
      <w:pPr>
        <w:ind w:firstLine="480"/>
        <w:rPr>
          <w:color w:val="000000" w:themeColor="text1"/>
          <w14:textFill>
            <w14:solidFill>
              <w14:schemeClr w14:val="tx1"/>
            </w14:solidFill>
          </w14:textFill>
        </w:rPr>
      </w:pPr>
      <w:bookmarkStart w:id="97" w:name="_Toc96446243"/>
      <w:r>
        <w:rPr>
          <w:rFonts w:hint="eastAsia"/>
          <w:color w:val="000000" w:themeColor="text1"/>
          <w14:textFill>
            <w14:solidFill>
              <w14:schemeClr w14:val="tx1"/>
            </w14:solidFill>
          </w14:textFill>
        </w:rPr>
        <w:t>（4）成交候选投标人提供虚假材料；</w:t>
      </w:r>
      <w:bookmarkEnd w:id="97"/>
    </w:p>
    <w:p>
      <w:pPr>
        <w:ind w:firstLine="480"/>
        <w:rPr>
          <w:bCs/>
          <w:color w:val="000000" w:themeColor="text1"/>
          <w14:textFill>
            <w14:solidFill>
              <w14:schemeClr w14:val="tx1"/>
            </w14:solidFill>
          </w14:textFill>
        </w:rPr>
      </w:pPr>
      <w:bookmarkStart w:id="98" w:name="_Toc96446244"/>
      <w:r>
        <w:rPr>
          <w:rFonts w:hint="eastAsia"/>
          <w:bCs/>
          <w:color w:val="000000" w:themeColor="text1"/>
          <w14:textFill>
            <w14:solidFill>
              <w14:schemeClr w14:val="tx1"/>
            </w14:solidFill>
          </w14:textFill>
        </w:rPr>
        <w:t>（5）成交候选投标人恶意串通。</w:t>
      </w:r>
      <w:bookmarkEnd w:id="98"/>
    </w:p>
    <w:p>
      <w:pPr>
        <w:ind w:firstLine="48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（6）成交候选投标人书面自愿放弃成交，且无其他非法目的的；</w:t>
      </w:r>
    </w:p>
    <w:p>
      <w:pPr>
        <w:ind w:firstLine="48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（7）其他不应确定成交投标人的情形。</w:t>
      </w:r>
    </w:p>
    <w:p>
      <w:pPr>
        <w:ind w:firstLine="480"/>
        <w:rPr>
          <w:color w:val="000000" w:themeColor="text1"/>
          <w14:textFill>
            <w14:solidFill>
              <w14:schemeClr w14:val="tx1"/>
            </w14:solidFill>
          </w14:textFill>
        </w:rPr>
      </w:pPr>
      <w:bookmarkStart w:id="99" w:name="_Toc96446245"/>
      <w:r>
        <w:rPr>
          <w:rFonts w:hint="eastAsia"/>
          <w:color w:val="000000" w:themeColor="text1"/>
          <w14:textFill>
            <w14:solidFill>
              <w14:schemeClr w14:val="tx1"/>
            </w14:solidFill>
          </w14:textFill>
        </w:rPr>
        <w:t>成交候选投标人有本条情形之一的，招标人可以确定后一位成交候选投标人为成交投标人，依次类推，也可以重新组织招标。</w:t>
      </w:r>
      <w:bookmarkEnd w:id="99"/>
    </w:p>
    <w:p>
      <w:pPr>
        <w:pStyle w:val="4"/>
        <w:ind w:firstLine="482"/>
        <w:rPr>
          <w:color w:val="000000" w:themeColor="text1"/>
          <w14:textFill>
            <w14:solidFill>
              <w14:schemeClr w14:val="tx1"/>
            </w14:solidFill>
          </w14:textFill>
        </w:rPr>
      </w:pPr>
      <w:bookmarkStart w:id="100" w:name="_Toc96446246"/>
      <w:r>
        <w:rPr>
          <w:rFonts w:hint="eastAsia"/>
          <w:color w:val="000000" w:themeColor="text1"/>
          <w14:textFill>
            <w14:solidFill>
              <w14:schemeClr w14:val="tx1"/>
            </w14:solidFill>
          </w14:textFill>
        </w:rPr>
        <w:t>22.成交结果</w:t>
      </w:r>
      <w:bookmarkEnd w:id="100"/>
    </w:p>
    <w:p>
      <w:pPr>
        <w:ind w:firstLine="480"/>
        <w:rPr>
          <w:color w:val="000000" w:themeColor="text1"/>
          <w14:textFill>
            <w14:solidFill>
              <w14:schemeClr w14:val="tx1"/>
            </w14:solidFill>
          </w14:textFill>
        </w:rPr>
      </w:pPr>
      <w:bookmarkStart w:id="101" w:name="_Toc96446247"/>
      <w:r>
        <w:rPr>
          <w:rFonts w:hint="eastAsia"/>
          <w:color w:val="000000" w:themeColor="text1"/>
          <w14:textFill>
            <w14:solidFill>
              <w14:schemeClr w14:val="tx1"/>
            </w14:solidFill>
          </w14:textFill>
        </w:rPr>
        <w:t>22.1招标人确定成交投标人后，将及时书面通知招标人，发出成交通知书并发布成交结果公告</w:t>
      </w:r>
      <w:r>
        <w:rPr>
          <w:rFonts w:hint="eastAsia"/>
          <w:b/>
          <w:bCs/>
          <w:color w:val="000000" w:themeColor="text1"/>
          <w14:textFill>
            <w14:solidFill>
              <w14:schemeClr w14:val="tx1"/>
            </w14:solidFill>
          </w14:textFill>
        </w:rPr>
        <w:t>（</w:t>
      </w:r>
      <w:r>
        <w:rPr>
          <w:rFonts w:hint="eastAsia"/>
          <w:b/>
          <w:bCs/>
          <w:color w:val="000000" w:themeColor="text1"/>
          <w:lang w:val="zh-CN"/>
          <w14:textFill>
            <w14:solidFill>
              <w14:schemeClr w14:val="tx1"/>
            </w14:solidFill>
          </w14:textFill>
        </w:rPr>
        <w:t>若招标人确认成交投标人，则增加成交投标人</w:t>
      </w:r>
      <w:r>
        <w:rPr>
          <w:rFonts w:hint="eastAsia"/>
          <w:b/>
          <w:bCs/>
          <w:color w:val="000000" w:themeColor="text1"/>
          <w14:textFill>
            <w14:solidFill>
              <w14:schemeClr w14:val="tx1"/>
            </w14:solidFill>
          </w14:textFill>
        </w:rPr>
        <w:t>结果</w:t>
      </w:r>
      <w:r>
        <w:rPr>
          <w:rFonts w:hint="eastAsia"/>
          <w:b/>
          <w:bCs/>
          <w:color w:val="000000" w:themeColor="text1"/>
          <w:lang w:val="zh-CN"/>
          <w14:textFill>
            <w14:solidFill>
              <w14:schemeClr w14:val="tx1"/>
            </w14:solidFill>
          </w14:textFill>
        </w:rPr>
        <w:t>公示，公示期为</w:t>
      </w:r>
      <w:r>
        <w:rPr>
          <w:rFonts w:hint="eastAsia"/>
          <w:b/>
          <w:bCs/>
          <w:color w:val="000000" w:themeColor="text1"/>
          <w14:textFill>
            <w14:solidFill>
              <w14:schemeClr w14:val="tx1"/>
            </w14:solidFill>
          </w14:textFill>
        </w:rPr>
        <w:t>1个工作日）</w:t>
      </w:r>
      <w:r>
        <w:rPr>
          <w:rFonts w:hint="eastAsia"/>
          <w:color w:val="000000" w:themeColor="text1"/>
          <w14:textFill>
            <w14:solidFill>
              <w14:schemeClr w14:val="tx1"/>
            </w14:solidFill>
          </w14:textFill>
        </w:rPr>
        <w:t>。</w:t>
      </w:r>
      <w:bookmarkEnd w:id="101"/>
    </w:p>
    <w:p>
      <w:pPr>
        <w:ind w:firstLine="48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22.2成交投标人应当及时领取成交通知书。</w:t>
      </w:r>
    </w:p>
    <w:p>
      <w:pPr>
        <w:ind w:firstLine="48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22.3成交投标人不能及时领取成交通知书，招标人应当通过邮寄、快递等方式将成交通知书送达成交投标人。</w:t>
      </w:r>
    </w:p>
    <w:p>
      <w:pPr>
        <w:pStyle w:val="4"/>
        <w:ind w:firstLine="482"/>
        <w:rPr>
          <w:color w:val="000000" w:themeColor="text1"/>
          <w14:textFill>
            <w14:solidFill>
              <w14:schemeClr w14:val="tx1"/>
            </w14:solidFill>
          </w14:textFill>
        </w:rPr>
      </w:pPr>
      <w:bookmarkStart w:id="102" w:name="_Toc96446248"/>
      <w:r>
        <w:rPr>
          <w:rFonts w:hint="eastAsia"/>
          <w:color w:val="000000" w:themeColor="text1"/>
          <w14:textFill>
            <w14:solidFill>
              <w14:schemeClr w14:val="tx1"/>
            </w14:solidFill>
          </w14:textFill>
        </w:rPr>
        <w:t>23.成交通知书</w:t>
      </w:r>
      <w:bookmarkEnd w:id="102"/>
    </w:p>
    <w:p>
      <w:pPr>
        <w:ind w:firstLine="480"/>
        <w:rPr>
          <w:color w:val="000000" w:themeColor="text1"/>
          <w14:textFill>
            <w14:solidFill>
              <w14:schemeClr w14:val="tx1"/>
            </w14:solidFill>
          </w14:textFill>
        </w:rPr>
      </w:pPr>
      <w:bookmarkStart w:id="103" w:name="_Toc96446249"/>
      <w:r>
        <w:rPr>
          <w:rFonts w:hint="eastAsia"/>
          <w:color w:val="000000" w:themeColor="text1"/>
          <w14:textFill>
            <w14:solidFill>
              <w14:schemeClr w14:val="tx1"/>
            </w14:solidFill>
          </w14:textFill>
        </w:rPr>
        <w:t>23.1成交通知书为签订业务合作协议的依据之一，是合同的有效组成部分。</w:t>
      </w:r>
      <w:bookmarkEnd w:id="103"/>
    </w:p>
    <w:p>
      <w:pPr>
        <w:ind w:firstLine="480"/>
        <w:rPr>
          <w:color w:val="000000" w:themeColor="text1"/>
          <w14:textFill>
            <w14:solidFill>
              <w14:schemeClr w14:val="tx1"/>
            </w14:solidFill>
          </w14:textFill>
        </w:rPr>
      </w:pPr>
      <w:bookmarkStart w:id="104" w:name="_Toc96446250"/>
      <w:r>
        <w:rPr>
          <w:rFonts w:hint="eastAsia"/>
          <w:color w:val="000000" w:themeColor="text1"/>
          <w14:textFill>
            <w14:solidFill>
              <w14:schemeClr w14:val="tx1"/>
            </w14:solidFill>
          </w14:textFill>
        </w:rPr>
        <w:t>23.2成交通知书对招标人和成交投标人均具有法效力。成交通知书发出后，招标人无正当理由改变成交结果，或者成交投标人无正当理由放弃成交的，将承担相应的法律责任。</w:t>
      </w:r>
      <w:bookmarkEnd w:id="104"/>
    </w:p>
    <w:p>
      <w:pPr>
        <w:ind w:firstLine="480"/>
        <w:rPr>
          <w:color w:val="000000" w:themeColor="text1"/>
          <w14:textFill>
            <w14:solidFill>
              <w14:schemeClr w14:val="tx1"/>
            </w14:solidFill>
          </w14:textFill>
        </w:rPr>
      </w:pPr>
      <w:bookmarkStart w:id="105" w:name="_Toc96446251"/>
      <w:r>
        <w:rPr>
          <w:rFonts w:hint="eastAsia"/>
          <w:color w:val="000000" w:themeColor="text1"/>
          <w14:textFill>
            <w14:solidFill>
              <w14:schemeClr w14:val="tx1"/>
            </w14:solidFill>
          </w14:textFill>
        </w:rPr>
        <w:t>23.3成交投标人的响应文件作为无效响应文件处理或者有招标法律法规规章制度规定的成交无效情形的，招标人在取得有权主体的认定以后，有权宣布发出的成交通知书无效，并收回发出的成交通知书，依法重新确定成交投标人或者重新开展招标活动。</w:t>
      </w:r>
      <w:bookmarkEnd w:id="105"/>
    </w:p>
    <w:p>
      <w:pPr>
        <w:pStyle w:val="3"/>
        <w:keepNext w:val="0"/>
        <w:keepLines w:val="0"/>
        <w:spacing w:line="500" w:lineRule="exact"/>
        <w:ind w:firstLine="562"/>
        <w:rPr>
          <w:color w:val="000000" w:themeColor="text1"/>
          <w14:textFill>
            <w14:solidFill>
              <w14:schemeClr w14:val="tx1"/>
            </w14:solidFill>
          </w14:textFill>
        </w:rPr>
      </w:pPr>
      <w:bookmarkStart w:id="106" w:name="_Toc96446252"/>
      <w:r>
        <w:rPr>
          <w:rFonts w:hint="eastAsia"/>
          <w:color w:val="000000" w:themeColor="text1"/>
          <w14:textFill>
            <w14:solidFill>
              <w14:schemeClr w14:val="tx1"/>
            </w14:solidFill>
          </w14:textFill>
        </w:rPr>
        <w:t>七、合同事项</w:t>
      </w:r>
      <w:bookmarkEnd w:id="106"/>
    </w:p>
    <w:p>
      <w:pPr>
        <w:pStyle w:val="4"/>
        <w:ind w:firstLine="482"/>
        <w:rPr>
          <w:color w:val="000000" w:themeColor="text1"/>
          <w14:textFill>
            <w14:solidFill>
              <w14:schemeClr w14:val="tx1"/>
            </w14:solidFill>
          </w14:textFill>
        </w:rPr>
      </w:pPr>
      <w:bookmarkStart w:id="107" w:name="_Toc101338364"/>
      <w:bookmarkStart w:id="108" w:name="_Toc430773927"/>
      <w:bookmarkStart w:id="109" w:name="_Toc101250646"/>
      <w:bookmarkStart w:id="110" w:name="_Toc101174151"/>
      <w:bookmarkStart w:id="111" w:name="_Toc209847069"/>
      <w:bookmarkStart w:id="112" w:name="_Toc96446253"/>
      <w:r>
        <w:rPr>
          <w:rFonts w:hint="eastAsia"/>
          <w:color w:val="000000" w:themeColor="text1"/>
          <w14:textFill>
            <w14:solidFill>
              <w14:schemeClr w14:val="tx1"/>
            </w14:solidFill>
          </w14:textFill>
        </w:rPr>
        <w:t>24.签订合同</w:t>
      </w:r>
      <w:bookmarkEnd w:id="107"/>
      <w:bookmarkEnd w:id="108"/>
      <w:bookmarkEnd w:id="109"/>
      <w:bookmarkEnd w:id="110"/>
      <w:bookmarkEnd w:id="111"/>
      <w:bookmarkEnd w:id="112"/>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24.1 </w:t>
      </w:r>
      <w:r>
        <w:rPr>
          <w:rFonts w:hint="eastAsia" w:ascii="宋体" w:hAnsi="宋体"/>
          <w:b/>
          <w:bCs/>
          <w:color w:val="000000" w:themeColor="text1"/>
          <w14:textFill>
            <w14:solidFill>
              <w14:schemeClr w14:val="tx1"/>
            </w14:solidFill>
          </w14:textFill>
        </w:rPr>
        <w:t>成交投标人应在成交通知书发出之日起十个工作日内与招标人签订业务合作协议</w:t>
      </w:r>
      <w:r>
        <w:rPr>
          <w:rFonts w:hint="eastAsia" w:ascii="宋体" w:hAnsi="宋体"/>
          <w:color w:val="000000" w:themeColor="text1"/>
          <w14:textFill>
            <w14:solidFill>
              <w14:schemeClr w14:val="tx1"/>
            </w14:solidFill>
          </w14:textFill>
        </w:rPr>
        <w:t>。由于成交投标人的原因逾期未与招标人签订业务合作协议的，将视为放弃成交，取消其成交资格并将按相关规定进行处理。</w:t>
      </w: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24.2 招标文件、成交投标人的响应文件及双方确认的澄清文件等，均为有法律约束力的合同组成部分。</w:t>
      </w: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24.3 招标人不得向成交投标人提出任何不合理的要求，作为签订合同的条件，不得与成交投标人私下订立背离合同实质性内容的任何协议，所签订的合同不得对招标文件和成交投标人响应文件确定的事项进行修改。</w:t>
      </w: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24.4 成交投标人因不可抗力原因不能履行业务合作协议或放弃成交的，招标人可以与其他成交候选人签订业务合作协议，也可以重新组织招标。</w:t>
      </w:r>
    </w:p>
    <w:p>
      <w:pPr>
        <w:ind w:firstLine="480"/>
        <w:rPr>
          <w:rFonts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24.5</w:t>
      </w:r>
      <w:r>
        <w:rPr>
          <w:rFonts w:hint="eastAsia" w:hAnsi="宋体"/>
          <w:color w:val="000000" w:themeColor="text1"/>
          <w14:textFill>
            <w14:solidFill>
              <w14:schemeClr w14:val="tx1"/>
            </w14:solidFill>
          </w14:textFill>
        </w:rPr>
        <w:t>招标文件、成交投标人提交的响应文件、招标中的报价、成交投标人承诺书、成交通知书等均称为有法律约束力的合同组成内容。</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.合同分包（实质性要求）</w:t>
      </w:r>
    </w:p>
    <w:p>
      <w:pPr>
        <w:pStyle w:val="4"/>
        <w:ind w:firstLine="480"/>
        <w:rPr>
          <w:rFonts w:hAnsi="宋体"/>
          <w:b w:val="0"/>
          <w:bCs w:val="0"/>
          <w:color w:val="000000" w:themeColor="text1"/>
          <w:szCs w:val="24"/>
          <w14:textFill>
            <w14:solidFill>
              <w14:schemeClr w14:val="tx1"/>
            </w14:solidFill>
          </w14:textFill>
        </w:rPr>
      </w:pPr>
      <w:r>
        <w:rPr>
          <w:rFonts w:hint="eastAsia" w:hAnsi="宋体"/>
          <w:b w:val="0"/>
          <w:bCs w:val="0"/>
          <w:color w:val="000000" w:themeColor="text1"/>
          <w:szCs w:val="24"/>
          <w14:textFill>
            <w14:solidFill>
              <w14:schemeClr w14:val="tx1"/>
            </w14:solidFill>
          </w14:textFill>
        </w:rPr>
        <w:t>本项目不允许分包。</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26</w:t>
      </w:r>
      <w:r>
        <w:rPr>
          <w:rFonts w:hint="eastAsia"/>
          <w:color w:val="000000" w:themeColor="text1"/>
          <w14:textFill>
            <w14:solidFill>
              <w14:schemeClr w14:val="tx1"/>
            </w14:solidFill>
          </w14:textFill>
        </w:rPr>
        <w:t>.合同转包（实质性要求）</w:t>
      </w:r>
    </w:p>
    <w:p>
      <w:pPr>
        <w:ind w:firstLine="48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本招标项目严禁成交投标人将任何业务合作协议义务转包。本项目所称转包，是指成交投标人将业务合作协议义务转让给第三人，并退出现有业务合作协议当事人双方的权利义务关系，受让人（即第三人）成为业务合作协议的另一方当事人的行为。</w:t>
      </w:r>
    </w:p>
    <w:p>
      <w:pPr>
        <w:ind w:firstLine="48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成交投标人转包的，视同拒绝履行业务合作协议义务，将依法追究法律责任。</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27</w:t>
      </w:r>
      <w:r>
        <w:rPr>
          <w:rFonts w:hint="eastAsia"/>
          <w:color w:val="000000" w:themeColor="text1"/>
          <w14:textFill>
            <w14:solidFill>
              <w14:schemeClr w14:val="tx1"/>
            </w14:solidFill>
          </w14:textFill>
        </w:rPr>
        <w:t>.补充合同</w:t>
      </w:r>
    </w:p>
    <w:p>
      <w:pPr>
        <w:ind w:firstLine="48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 xml:space="preserve">合同履行过程中，招标人需要追加与合同标的相同的货物或者服务的，在不改变合同其他条款的前提下，可以与成交投标人协商签订补充合同，该补充合同应当在原合同履行过程中，不得在原合同履行结束后。 </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28</w:t>
      </w:r>
      <w:r>
        <w:rPr>
          <w:rFonts w:hint="eastAsia"/>
          <w:color w:val="000000" w:themeColor="text1"/>
          <w14:textFill>
            <w14:solidFill>
              <w14:schemeClr w14:val="tx1"/>
            </w14:solidFill>
          </w14:textFill>
        </w:rPr>
        <w:t>.履约保证金</w:t>
      </w: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本项目不设履约保证金。</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29.履行合同</w:t>
      </w: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29.1 成交投标人与招标人签订合同后，合同双方应严格执行合同条款，履行合同规定的义务，保证合同的顺利完成。</w:t>
      </w:r>
    </w:p>
    <w:p>
      <w:pPr>
        <w:ind w:firstLine="480"/>
        <w:rPr>
          <w:rFonts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29.2 在</w:t>
      </w:r>
      <w:r>
        <w:rPr>
          <w:rFonts w:hint="eastAsia" w:hAnsi="宋体"/>
          <w:color w:val="000000" w:themeColor="text1"/>
          <w14:textFill>
            <w14:solidFill>
              <w14:schemeClr w14:val="tx1"/>
            </w14:solidFill>
          </w14:textFill>
        </w:rPr>
        <w:t>合同履行过程中，如发生合同纠纷，合同双方应按照《民法典》的有关规定进行处理。</w:t>
      </w:r>
    </w:p>
    <w:p>
      <w:pPr>
        <w:pStyle w:val="3"/>
        <w:keepNext w:val="0"/>
        <w:keepLines w:val="0"/>
        <w:spacing w:line="500" w:lineRule="exact"/>
        <w:ind w:firstLine="562"/>
        <w:rPr>
          <w:color w:val="000000" w:themeColor="text1"/>
          <w14:textFill>
            <w14:solidFill>
              <w14:schemeClr w14:val="tx1"/>
            </w14:solidFill>
          </w14:textFill>
        </w:rPr>
      </w:pPr>
      <w:bookmarkStart w:id="113" w:name="_Toc96446254"/>
      <w:r>
        <w:rPr>
          <w:rFonts w:hint="eastAsia"/>
          <w:color w:val="000000" w:themeColor="text1"/>
          <w14:textFill>
            <w14:solidFill>
              <w14:schemeClr w14:val="tx1"/>
            </w14:solidFill>
          </w14:textFill>
        </w:rPr>
        <w:t>八、招标纪律要求</w:t>
      </w:r>
      <w:bookmarkEnd w:id="113"/>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.投标人不得具有的情形</w:t>
      </w:r>
    </w:p>
    <w:p>
      <w:pPr>
        <w:tabs>
          <w:tab w:val="left" w:pos="851"/>
        </w:tabs>
        <w:ind w:firstLine="48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投标人参加本项目招标不得有下列情形：</w:t>
      </w:r>
    </w:p>
    <w:p>
      <w:pPr>
        <w:tabs>
          <w:tab w:val="left" w:pos="851"/>
        </w:tabs>
        <w:ind w:firstLine="48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（1）提供虚假材料谋取成交；</w:t>
      </w:r>
    </w:p>
    <w:p>
      <w:pPr>
        <w:tabs>
          <w:tab w:val="left" w:pos="851"/>
        </w:tabs>
        <w:ind w:firstLine="48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（2）采取不正当手段诋毁、排挤其他投标人；</w:t>
      </w:r>
    </w:p>
    <w:p>
      <w:pPr>
        <w:tabs>
          <w:tab w:val="left" w:pos="851"/>
        </w:tabs>
        <w:ind w:firstLine="48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（3）与招标人、或其他投标人恶意串通；</w:t>
      </w:r>
    </w:p>
    <w:p>
      <w:pPr>
        <w:tabs>
          <w:tab w:val="left" w:pos="851"/>
        </w:tabs>
        <w:ind w:firstLine="48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（4）向招标人、招标小组成员行贿或者提供其他不正当利益；</w:t>
      </w:r>
    </w:p>
    <w:p>
      <w:pPr>
        <w:tabs>
          <w:tab w:val="left" w:pos="851"/>
        </w:tabs>
        <w:ind w:firstLine="48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（5）在招标过程中与招标人进行协商；</w:t>
      </w:r>
    </w:p>
    <w:p>
      <w:pPr>
        <w:tabs>
          <w:tab w:val="left" w:pos="851"/>
        </w:tabs>
        <w:ind w:firstLine="48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（6）成交后无正当理由拒不与招标人签订业务合作协议；</w:t>
      </w:r>
    </w:p>
    <w:p>
      <w:pPr>
        <w:tabs>
          <w:tab w:val="left" w:pos="851"/>
        </w:tabs>
        <w:ind w:firstLine="48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（7）未按照招标文件确定的事项签订业务合作协议；</w:t>
      </w:r>
    </w:p>
    <w:p>
      <w:pPr>
        <w:tabs>
          <w:tab w:val="left" w:pos="851"/>
        </w:tabs>
        <w:ind w:firstLine="48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（8）将合同转包或者违规分包；</w:t>
      </w:r>
    </w:p>
    <w:p>
      <w:pPr>
        <w:tabs>
          <w:tab w:val="left" w:pos="851"/>
        </w:tabs>
        <w:ind w:firstLine="48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（9）提供假冒伪劣产品；</w:t>
      </w:r>
    </w:p>
    <w:p>
      <w:pPr>
        <w:tabs>
          <w:tab w:val="left" w:pos="851"/>
        </w:tabs>
        <w:ind w:firstLine="48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（10）擅自变更、中止或者终止业务合作协议；</w:t>
      </w:r>
    </w:p>
    <w:p>
      <w:pPr>
        <w:tabs>
          <w:tab w:val="left" w:pos="851"/>
        </w:tabs>
        <w:ind w:firstLine="48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（11）拒绝有关部门的监督检查或者向监督检查部门提供虚假情况；</w:t>
      </w:r>
    </w:p>
    <w:p>
      <w:pPr>
        <w:tabs>
          <w:tab w:val="left" w:pos="851"/>
        </w:tabs>
        <w:ind w:firstLine="48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（12）法律法规规定的其他情形。</w:t>
      </w:r>
    </w:p>
    <w:p>
      <w:pPr>
        <w:tabs>
          <w:tab w:val="left" w:pos="851"/>
        </w:tabs>
        <w:ind w:firstLine="48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投标人有上述情形的，按照规定追究法律责任，具备（1）-（10）条情形之一的，同时将取消被确认为成交投标人的资格或者认定成交无效。</w:t>
      </w:r>
    </w:p>
    <w:p>
      <w:pPr>
        <w:pStyle w:val="3"/>
        <w:keepNext w:val="0"/>
        <w:keepLines w:val="0"/>
        <w:spacing w:line="500" w:lineRule="exact"/>
        <w:ind w:firstLine="562"/>
        <w:rPr>
          <w:color w:val="000000" w:themeColor="text1"/>
          <w14:textFill>
            <w14:solidFill>
              <w14:schemeClr w14:val="tx1"/>
            </w14:solidFill>
          </w14:textFill>
        </w:rPr>
      </w:pPr>
      <w:r>
        <w:rPr>
          <w:rFonts w:hint="eastAsia"/>
          <w:color w:val="000000" w:themeColor="text1"/>
          <w14:textFill>
            <w14:solidFill>
              <w14:schemeClr w14:val="tx1"/>
            </w14:solidFill>
          </w14:textFill>
        </w:rPr>
        <w:t>九、其  他</w:t>
      </w:r>
    </w:p>
    <w:p>
      <w:pPr>
        <w:tabs>
          <w:tab w:val="left" w:pos="851"/>
        </w:tabs>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本招标文件中所引相关法律制度规定，在招标中有变化的，按照变化后的相关法律制度规定执行。本章规定的内容条款，在本项目递交响应文件截止时间届满后，因相关法律制度规定的变化导致不符合相关法律制度规定的，直接按照变化后的相关法律制度规定执行，本招标文件不再做调整。投标人如有质疑，需本项目授权委托人或法人签字并加盖公章，且在法定质疑期内需一次性提出针对同一招标程序环节的质疑。</w:t>
      </w:r>
    </w:p>
    <w:p>
      <w:pPr>
        <w:pStyle w:val="2"/>
        <w:keepNext w:val="0"/>
        <w:keepLines w:val="0"/>
        <w:spacing w:before="0" w:after="0" w:line="440" w:lineRule="exact"/>
        <w:jc w:val="left"/>
        <w:rPr>
          <w:rFonts w:ascii="黑体" w:hAnsi="宋体" w:eastAsia="黑体"/>
          <w:b w:val="0"/>
          <w:color w:val="000000" w:themeColor="text1"/>
          <w:sz w:val="32"/>
          <w:szCs w:val="32"/>
          <w14:textFill>
            <w14:solidFill>
              <w14:schemeClr w14:val="tx1"/>
            </w14:solidFill>
          </w14:textFill>
        </w:rPr>
        <w:sectPr>
          <w:footerReference r:id="rId12" w:type="first"/>
          <w:footerReference r:id="rId11" w:type="default"/>
          <w:pgSz w:w="13607" w:h="16840"/>
          <w:pgMar w:top="1440" w:right="1797" w:bottom="1440" w:left="1797" w:header="851" w:footer="992" w:gutter="0"/>
          <w:pgNumType w:fmt="numberInDash" w:start="1"/>
          <w:cols w:space="720" w:num="1"/>
          <w:titlePg/>
          <w:docGrid w:linePitch="312" w:charSpace="0"/>
        </w:sectPr>
      </w:pPr>
    </w:p>
    <w:p>
      <w:pPr>
        <w:pStyle w:val="2"/>
        <w:keepNext w:val="0"/>
        <w:keepLines w:val="0"/>
        <w:spacing w:before="0" w:after="0" w:line="440" w:lineRule="exact"/>
        <w:jc w:val="both"/>
        <w:rPr>
          <w:rFonts w:ascii="宋体" w:hAnsi="Arial"/>
          <w:bCs w:val="0"/>
          <w:color w:val="000000" w:themeColor="text1"/>
          <w:kern w:val="2"/>
          <w:sz w:val="36"/>
          <w:szCs w:val="32"/>
          <w14:textFill>
            <w14:solidFill>
              <w14:schemeClr w14:val="tx1"/>
            </w14:solidFill>
          </w14:textFill>
        </w:rPr>
      </w:pPr>
      <w:bookmarkStart w:id="114" w:name="_Toc96446257"/>
      <w:r>
        <w:rPr>
          <w:rFonts w:hint="eastAsia" w:ascii="宋体" w:hAnsi="Arial"/>
          <w:bCs w:val="0"/>
          <w:color w:val="000000" w:themeColor="text1"/>
          <w:kern w:val="2"/>
          <w:sz w:val="36"/>
          <w:szCs w:val="32"/>
          <w14:textFill>
            <w14:solidFill>
              <w14:schemeClr w14:val="tx1"/>
            </w14:solidFill>
          </w14:textFill>
        </w:rPr>
        <w:t>第三章  业务合作协议内容条款、商务及其他要求</w:t>
      </w:r>
      <w:bookmarkEnd w:id="114"/>
    </w:p>
    <w:p>
      <w:pPr>
        <w:widowControl/>
        <w:shd w:val="clear" w:color="auto" w:fill="FFFFFF"/>
        <w:spacing w:line="450" w:lineRule="atLeast"/>
        <w:ind w:firstLine="480"/>
        <w:rPr>
          <w:rFonts w:ascii="宋体" w:hAnsi="宋体"/>
          <w:color w:val="000000" w:themeColor="text1"/>
          <w14:textFill>
            <w14:solidFill>
              <w14:schemeClr w14:val="tx1"/>
            </w14:solidFill>
          </w14:textFill>
        </w:rPr>
      </w:pPr>
      <w:bookmarkStart w:id="115" w:name="_Toc183682369"/>
      <w:bookmarkStart w:id="116" w:name="_Toc217446057"/>
      <w:bookmarkStart w:id="117" w:name="_Toc183582232"/>
    </w:p>
    <w:p>
      <w:pPr>
        <w:widowControl/>
        <w:shd w:val="clear" w:color="auto" w:fill="FFFFFF"/>
        <w:spacing w:line="450" w:lineRule="atLeast"/>
        <w:ind w:firstLine="480"/>
        <w:rPr>
          <w:rFonts w:ascii="Arial" w:hAnsi="Arial" w:cs="Arial"/>
          <w:color w:val="000000" w:themeColor="text1"/>
          <w:kern w:val="0"/>
          <w14:textFill>
            <w14:solidFill>
              <w14:schemeClr w14:val="tx1"/>
            </w14:solidFill>
          </w14:textFill>
        </w:rPr>
      </w:pPr>
      <w:r>
        <w:rPr>
          <w:rFonts w:hint="eastAsia" w:ascii="Arial" w:hAnsi="Arial" w:cs="Arial"/>
          <w:color w:val="000000" w:themeColor="text1"/>
          <w:kern w:val="0"/>
          <w14:textFill>
            <w14:solidFill>
              <w14:schemeClr w14:val="tx1"/>
            </w14:solidFill>
          </w14:textFill>
        </w:rPr>
        <w:t>1.能提供机车取送服务。</w:t>
      </w:r>
    </w:p>
    <w:p>
      <w:pPr>
        <w:widowControl/>
        <w:shd w:val="clear" w:color="auto" w:fill="FFFFFF"/>
        <w:spacing w:line="450" w:lineRule="atLeast"/>
        <w:ind w:firstLine="480"/>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2</w:t>
      </w:r>
      <w:r>
        <w:rPr>
          <w:rFonts w:hint="eastAsia" w:ascii="Arial" w:hAnsi="Arial" w:cs="Arial"/>
          <w:color w:val="000000" w:themeColor="text1"/>
          <w:kern w:val="0"/>
          <w14:textFill>
            <w14:solidFill>
              <w14:schemeClr w14:val="tx1"/>
            </w14:solidFill>
          </w14:textFill>
        </w:rPr>
        <w:t>.能为招标人运营团队免费提供办公及住宿场所；</w:t>
      </w:r>
    </w:p>
    <w:p>
      <w:pPr>
        <w:widowControl/>
        <w:shd w:val="clear" w:color="auto" w:fill="FFFFFF"/>
        <w:spacing w:line="450" w:lineRule="atLeast"/>
        <w:ind w:firstLine="480"/>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3.</w:t>
      </w:r>
      <w:r>
        <w:rPr>
          <w:rFonts w:hint="eastAsia" w:ascii="Arial" w:hAnsi="Arial" w:cs="Arial"/>
          <w:color w:val="000000" w:themeColor="text1"/>
          <w:kern w:val="0"/>
          <w14:textFill>
            <w14:solidFill>
              <w14:schemeClr w14:val="tx1"/>
            </w14:solidFill>
          </w14:textFill>
        </w:rPr>
        <w:t>能提供计量服务；</w:t>
      </w:r>
    </w:p>
    <w:p>
      <w:pPr>
        <w:widowControl/>
        <w:shd w:val="clear" w:color="auto" w:fill="FFFFFF"/>
        <w:spacing w:line="450" w:lineRule="atLeast"/>
        <w:ind w:firstLine="48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14:textFill>
            <w14:solidFill>
              <w14:schemeClr w14:val="tx1"/>
            </w14:solidFill>
          </w14:textFill>
        </w:rPr>
        <w:t>4</w:t>
      </w:r>
      <w:r>
        <w:rPr>
          <w:rFonts w:hint="eastAsia" w:ascii="Arial" w:hAnsi="Arial" w:cs="Arial"/>
          <w:color w:val="000000" w:themeColor="text1"/>
          <w:kern w:val="0"/>
          <w14:textFill>
            <w14:solidFill>
              <w14:schemeClr w14:val="tx1"/>
            </w14:solidFill>
          </w14:textFill>
        </w:rPr>
        <w:t>.能提供集装箱运输业务作业所需的车辆的停放场地；</w:t>
      </w:r>
    </w:p>
    <w:p>
      <w:pPr>
        <w:ind w:firstLine="439" w:firstLineChars="183"/>
        <w:rPr>
          <w:color w:val="000000" w:themeColor="text1"/>
          <w14:textFill>
            <w14:solidFill>
              <w14:schemeClr w14:val="tx1"/>
            </w14:solidFill>
          </w14:textFill>
        </w:rPr>
      </w:pPr>
    </w:p>
    <w:p>
      <w:pPr>
        <w:tabs>
          <w:tab w:val="left" w:pos="851"/>
        </w:tabs>
        <w:ind w:firstLine="720"/>
        <w:rPr>
          <w:rFonts w:ascii="宋体" w:hAnsi="Arial"/>
          <w:bCs/>
          <w:color w:val="000000" w:themeColor="text1"/>
          <w:sz w:val="36"/>
          <w:szCs w:val="32"/>
          <w14:textFill>
            <w14:solidFill>
              <w14:schemeClr w14:val="tx1"/>
            </w14:solidFill>
          </w14:textFill>
        </w:rPr>
      </w:pPr>
      <w:r>
        <w:rPr>
          <w:rFonts w:hint="eastAsia" w:ascii="宋体" w:hAnsi="Arial"/>
          <w:bCs/>
          <w:color w:val="000000" w:themeColor="text1"/>
          <w:sz w:val="36"/>
          <w:szCs w:val="32"/>
          <w14:textFill>
            <w14:solidFill>
              <w14:schemeClr w14:val="tx1"/>
            </w14:solidFill>
          </w14:textFill>
        </w:rPr>
        <w:br w:type="page"/>
      </w:r>
      <w:r>
        <w:rPr>
          <w:rFonts w:hint="eastAsia" w:ascii="宋体" w:hAnsi="Arial"/>
          <w:bCs/>
          <w:color w:val="000000" w:themeColor="text1"/>
          <w:sz w:val="36"/>
          <w:szCs w:val="32"/>
          <w14:textFill>
            <w14:solidFill>
              <w14:schemeClr w14:val="tx1"/>
            </w14:solidFill>
          </w14:textFill>
        </w:rPr>
        <w:t>第四章  招标内容、招标过程中可实质性变动的内容</w:t>
      </w:r>
    </w:p>
    <w:p>
      <w:pPr>
        <w:ind w:firstLine="480"/>
        <w:rPr>
          <w:color w:val="000000" w:themeColor="text1"/>
          <w14:textFill>
            <w14:solidFill>
              <w14:schemeClr w14:val="tx1"/>
            </w14:solidFill>
          </w14:textFill>
        </w:rPr>
      </w:pPr>
    </w:p>
    <w:p>
      <w:pPr>
        <w:tabs>
          <w:tab w:val="left" w:pos="7665"/>
        </w:tabs>
        <w:spacing w:line="400" w:lineRule="exact"/>
        <w:ind w:firstLine="480"/>
        <w:rPr>
          <w:rFonts w:ascii="宋体" w:hAnsi="宋体"/>
          <w:bCs/>
          <w:color w:val="000000" w:themeColor="text1"/>
          <w14:textFill>
            <w14:solidFill>
              <w14:schemeClr w14:val="tx1"/>
            </w14:solidFill>
          </w14:textFill>
        </w:rPr>
      </w:pPr>
    </w:p>
    <w:p>
      <w:pPr>
        <w:tabs>
          <w:tab w:val="left" w:pos="7665"/>
        </w:tabs>
        <w:spacing w:line="400" w:lineRule="exact"/>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针对第三章、第七章所包含的技术、服务要求以及合同草案条款，在招标过程中，招标小组在获得招标人确认的前提下，可以根据招标情况实质性变动相关内容。招标小组对招标文件作出的实质性变动是招标文件的有效组成部分，招标小组会及时以书面形式通知所有参加招标的投标人，投标人在招标的过程中仅可正偏离文件要求，不可负偏离。</w:t>
      </w:r>
    </w:p>
    <w:p>
      <w:pPr>
        <w:tabs>
          <w:tab w:val="left" w:pos="7665"/>
        </w:tabs>
        <w:spacing w:line="400" w:lineRule="exact"/>
        <w:ind w:firstLine="480"/>
        <w:rPr>
          <w:rFonts w:ascii="宋体" w:hAnsi="宋体"/>
          <w:bCs/>
          <w:color w:val="000000" w:themeColor="text1"/>
          <w14:textFill>
            <w14:solidFill>
              <w14:schemeClr w14:val="tx1"/>
            </w14:solidFill>
          </w14:textFill>
        </w:rPr>
      </w:pPr>
    </w:p>
    <w:p>
      <w:pPr>
        <w:tabs>
          <w:tab w:val="left" w:pos="7665"/>
        </w:tabs>
        <w:spacing w:line="400" w:lineRule="exact"/>
        <w:ind w:firstLine="480"/>
        <w:rPr>
          <w:rFonts w:ascii="宋体" w:hAnsi="宋体"/>
          <w:bCs/>
          <w:color w:val="000000" w:themeColor="text1"/>
          <w14:textFill>
            <w14:solidFill>
              <w14:schemeClr w14:val="tx1"/>
            </w14:solidFill>
          </w14:textFill>
        </w:rPr>
      </w:pPr>
    </w:p>
    <w:p>
      <w:pPr>
        <w:tabs>
          <w:tab w:val="left" w:pos="7665"/>
        </w:tabs>
        <w:spacing w:line="400" w:lineRule="exact"/>
        <w:ind w:firstLine="480"/>
        <w:rPr>
          <w:rFonts w:ascii="宋体" w:hAnsi="宋体"/>
          <w:bCs/>
          <w:color w:val="000000" w:themeColor="text1"/>
          <w14:textFill>
            <w14:solidFill>
              <w14:schemeClr w14:val="tx1"/>
            </w14:solidFill>
          </w14:textFill>
        </w:rPr>
      </w:pPr>
    </w:p>
    <w:p>
      <w:pPr>
        <w:tabs>
          <w:tab w:val="left" w:pos="7665"/>
        </w:tabs>
        <w:spacing w:line="400" w:lineRule="exact"/>
        <w:ind w:firstLine="480"/>
        <w:rPr>
          <w:rFonts w:ascii="宋体" w:hAnsi="宋体"/>
          <w:bCs/>
          <w:color w:val="000000" w:themeColor="text1"/>
          <w14:textFill>
            <w14:solidFill>
              <w14:schemeClr w14:val="tx1"/>
            </w14:solidFill>
          </w14:textFill>
        </w:rPr>
      </w:pPr>
    </w:p>
    <w:p>
      <w:pPr>
        <w:tabs>
          <w:tab w:val="left" w:pos="7665"/>
        </w:tabs>
        <w:spacing w:line="400" w:lineRule="exact"/>
        <w:ind w:firstLine="643"/>
        <w:jc w:val="center"/>
        <w:rPr>
          <w:rFonts w:ascii="黑体" w:hAnsi="宋体" w:eastAsia="黑体"/>
          <w:b/>
          <w:bCs/>
          <w:color w:val="000000" w:themeColor="text1"/>
          <w:sz w:val="32"/>
          <w:szCs w:val="32"/>
          <w14:textFill>
            <w14:solidFill>
              <w14:schemeClr w14:val="tx1"/>
            </w14:solidFill>
          </w14:textFill>
        </w:rPr>
      </w:pPr>
    </w:p>
    <w:p>
      <w:pPr>
        <w:tabs>
          <w:tab w:val="left" w:pos="7665"/>
        </w:tabs>
        <w:spacing w:line="400" w:lineRule="exact"/>
        <w:ind w:firstLine="643"/>
        <w:jc w:val="center"/>
        <w:rPr>
          <w:rFonts w:ascii="黑体" w:hAnsi="宋体" w:eastAsia="黑体"/>
          <w:b/>
          <w:bCs/>
          <w:color w:val="000000" w:themeColor="text1"/>
          <w:sz w:val="32"/>
          <w:szCs w:val="32"/>
          <w14:textFill>
            <w14:solidFill>
              <w14:schemeClr w14:val="tx1"/>
            </w14:solidFill>
          </w14:textFill>
        </w:rPr>
      </w:pPr>
    </w:p>
    <w:p>
      <w:pPr>
        <w:tabs>
          <w:tab w:val="left" w:pos="7665"/>
        </w:tabs>
        <w:spacing w:line="400" w:lineRule="exact"/>
        <w:ind w:firstLine="643"/>
        <w:jc w:val="center"/>
        <w:rPr>
          <w:rFonts w:ascii="黑体" w:hAnsi="宋体" w:eastAsia="黑体"/>
          <w:b/>
          <w:bCs/>
          <w:color w:val="000000" w:themeColor="text1"/>
          <w:sz w:val="32"/>
          <w:szCs w:val="32"/>
          <w14:textFill>
            <w14:solidFill>
              <w14:schemeClr w14:val="tx1"/>
            </w14:solidFill>
          </w14:textFill>
        </w:rPr>
      </w:pPr>
    </w:p>
    <w:p>
      <w:pPr>
        <w:tabs>
          <w:tab w:val="left" w:pos="7665"/>
        </w:tabs>
        <w:spacing w:line="400" w:lineRule="exact"/>
        <w:ind w:firstLine="643"/>
        <w:jc w:val="center"/>
        <w:rPr>
          <w:rFonts w:ascii="黑体" w:hAnsi="宋体" w:eastAsia="黑体"/>
          <w:b/>
          <w:bCs/>
          <w:color w:val="000000" w:themeColor="text1"/>
          <w:sz w:val="32"/>
          <w:szCs w:val="32"/>
          <w14:textFill>
            <w14:solidFill>
              <w14:schemeClr w14:val="tx1"/>
            </w14:solidFill>
          </w14:textFill>
        </w:rPr>
      </w:pPr>
    </w:p>
    <w:p>
      <w:pPr>
        <w:tabs>
          <w:tab w:val="left" w:pos="7665"/>
        </w:tabs>
        <w:spacing w:line="400" w:lineRule="exact"/>
        <w:ind w:firstLine="643"/>
        <w:jc w:val="center"/>
        <w:rPr>
          <w:rFonts w:ascii="黑体" w:hAnsi="宋体" w:eastAsia="黑体"/>
          <w:b/>
          <w:bCs/>
          <w:color w:val="000000" w:themeColor="text1"/>
          <w:sz w:val="32"/>
          <w:szCs w:val="32"/>
          <w14:textFill>
            <w14:solidFill>
              <w14:schemeClr w14:val="tx1"/>
            </w14:solidFill>
          </w14:textFill>
        </w:rPr>
      </w:pPr>
    </w:p>
    <w:p>
      <w:pPr>
        <w:tabs>
          <w:tab w:val="left" w:pos="7665"/>
        </w:tabs>
        <w:spacing w:line="400" w:lineRule="exact"/>
        <w:ind w:firstLine="643"/>
        <w:jc w:val="center"/>
        <w:rPr>
          <w:rFonts w:ascii="黑体" w:hAnsi="宋体" w:eastAsia="黑体"/>
          <w:b/>
          <w:bCs/>
          <w:color w:val="000000" w:themeColor="text1"/>
          <w:sz w:val="32"/>
          <w:szCs w:val="32"/>
          <w14:textFill>
            <w14:solidFill>
              <w14:schemeClr w14:val="tx1"/>
            </w14:solidFill>
          </w14:textFill>
        </w:rPr>
      </w:pPr>
    </w:p>
    <w:p>
      <w:pPr>
        <w:tabs>
          <w:tab w:val="left" w:pos="7665"/>
        </w:tabs>
        <w:spacing w:line="400" w:lineRule="exact"/>
        <w:ind w:firstLine="643"/>
        <w:jc w:val="center"/>
        <w:rPr>
          <w:rFonts w:ascii="黑体" w:hAnsi="宋体" w:eastAsia="黑体"/>
          <w:b/>
          <w:bCs/>
          <w:color w:val="000000" w:themeColor="text1"/>
          <w:sz w:val="32"/>
          <w:szCs w:val="32"/>
          <w14:textFill>
            <w14:solidFill>
              <w14:schemeClr w14:val="tx1"/>
            </w14:solidFill>
          </w14:textFill>
        </w:rPr>
      </w:pPr>
    </w:p>
    <w:p>
      <w:pPr>
        <w:tabs>
          <w:tab w:val="left" w:pos="7665"/>
        </w:tabs>
        <w:spacing w:line="400" w:lineRule="exact"/>
        <w:ind w:firstLine="643"/>
        <w:jc w:val="center"/>
        <w:rPr>
          <w:rFonts w:ascii="黑体" w:hAnsi="宋体" w:eastAsia="黑体"/>
          <w:b/>
          <w:bCs/>
          <w:color w:val="000000" w:themeColor="text1"/>
          <w:sz w:val="32"/>
          <w:szCs w:val="32"/>
          <w14:textFill>
            <w14:solidFill>
              <w14:schemeClr w14:val="tx1"/>
            </w14:solidFill>
          </w14:textFill>
        </w:rPr>
      </w:pPr>
    </w:p>
    <w:p>
      <w:pPr>
        <w:tabs>
          <w:tab w:val="left" w:pos="7665"/>
        </w:tabs>
        <w:spacing w:line="400" w:lineRule="exact"/>
        <w:ind w:firstLine="480"/>
        <w:rPr>
          <w:rFonts w:ascii="宋体" w:hAnsi="宋体"/>
          <w:bCs/>
          <w:color w:val="000000" w:themeColor="text1"/>
          <w14:textFill>
            <w14:solidFill>
              <w14:schemeClr w14:val="tx1"/>
            </w14:solidFill>
          </w14:textFill>
        </w:rPr>
      </w:pPr>
    </w:p>
    <w:p>
      <w:pPr>
        <w:tabs>
          <w:tab w:val="left" w:pos="7665"/>
        </w:tabs>
        <w:spacing w:line="400" w:lineRule="exact"/>
        <w:ind w:firstLine="643"/>
        <w:rPr>
          <w:rFonts w:ascii="黑体" w:hAnsi="宋体" w:eastAsia="黑体"/>
          <w:b/>
          <w:bCs/>
          <w:color w:val="000000" w:themeColor="text1"/>
          <w:sz w:val="32"/>
          <w:szCs w:val="32"/>
          <w14:textFill>
            <w14:solidFill>
              <w14:schemeClr w14:val="tx1"/>
            </w14:solidFill>
          </w14:textFill>
        </w:rPr>
      </w:pPr>
    </w:p>
    <w:p>
      <w:pPr>
        <w:tabs>
          <w:tab w:val="left" w:pos="7665"/>
        </w:tabs>
        <w:spacing w:line="400" w:lineRule="exact"/>
        <w:ind w:firstLine="643"/>
        <w:rPr>
          <w:rFonts w:ascii="黑体" w:hAnsi="宋体" w:eastAsia="黑体"/>
          <w:b/>
          <w:bCs/>
          <w:color w:val="000000" w:themeColor="text1"/>
          <w:sz w:val="32"/>
          <w:szCs w:val="32"/>
          <w14:textFill>
            <w14:solidFill>
              <w14:schemeClr w14:val="tx1"/>
            </w14:solidFill>
          </w14:textFill>
        </w:rPr>
      </w:pPr>
    </w:p>
    <w:p>
      <w:pPr>
        <w:tabs>
          <w:tab w:val="left" w:pos="7665"/>
        </w:tabs>
        <w:spacing w:line="400" w:lineRule="exact"/>
        <w:ind w:firstLine="643"/>
        <w:jc w:val="center"/>
        <w:rPr>
          <w:rFonts w:ascii="黑体" w:hAnsi="宋体" w:eastAsia="黑体"/>
          <w:b/>
          <w:bCs/>
          <w:color w:val="000000" w:themeColor="text1"/>
          <w:sz w:val="32"/>
          <w:szCs w:val="32"/>
          <w14:textFill>
            <w14:solidFill>
              <w14:schemeClr w14:val="tx1"/>
            </w14:solidFill>
          </w14:textFill>
        </w:rPr>
      </w:pPr>
    </w:p>
    <w:p>
      <w:pPr>
        <w:tabs>
          <w:tab w:val="left" w:pos="7665"/>
        </w:tabs>
        <w:spacing w:line="400" w:lineRule="exact"/>
        <w:ind w:firstLine="643"/>
        <w:jc w:val="center"/>
        <w:rPr>
          <w:rFonts w:ascii="黑体" w:hAnsi="宋体" w:eastAsia="黑体"/>
          <w:b/>
          <w:bCs/>
          <w:color w:val="000000" w:themeColor="text1"/>
          <w:sz w:val="32"/>
          <w:szCs w:val="32"/>
          <w14:textFill>
            <w14:solidFill>
              <w14:schemeClr w14:val="tx1"/>
            </w14:solidFill>
          </w14:textFill>
        </w:rPr>
      </w:pPr>
    </w:p>
    <w:p>
      <w:pPr>
        <w:tabs>
          <w:tab w:val="left" w:pos="7665"/>
        </w:tabs>
        <w:spacing w:line="400" w:lineRule="exact"/>
        <w:ind w:firstLine="643"/>
        <w:jc w:val="center"/>
        <w:rPr>
          <w:rFonts w:ascii="黑体" w:hAnsi="宋体" w:eastAsia="黑体"/>
          <w:b/>
          <w:bCs/>
          <w:color w:val="000000" w:themeColor="text1"/>
          <w:sz w:val="32"/>
          <w:szCs w:val="32"/>
          <w14:textFill>
            <w14:solidFill>
              <w14:schemeClr w14:val="tx1"/>
            </w14:solidFill>
          </w14:textFill>
        </w:rPr>
        <w:sectPr>
          <w:pgSz w:w="13607" w:h="16840"/>
          <w:pgMar w:top="1440" w:right="1797" w:bottom="1440" w:left="1797" w:header="851" w:footer="992" w:gutter="0"/>
          <w:pgNumType w:fmt="numberInDash"/>
          <w:cols w:space="720" w:num="1"/>
          <w:titlePg/>
          <w:docGrid w:linePitch="312" w:charSpace="0"/>
        </w:sectPr>
      </w:pPr>
    </w:p>
    <w:p>
      <w:pPr>
        <w:pStyle w:val="2"/>
        <w:keepNext w:val="0"/>
        <w:keepLines w:val="0"/>
        <w:spacing w:before="0" w:after="0" w:line="440" w:lineRule="exact"/>
        <w:ind w:firstLine="723"/>
        <w:rPr>
          <w:rFonts w:ascii="黑体" w:hAnsi="宋体" w:eastAsia="黑体"/>
          <w:b w:val="0"/>
          <w:bCs w:val="0"/>
          <w:color w:val="000000" w:themeColor="text1"/>
          <w:sz w:val="32"/>
          <w:szCs w:val="32"/>
          <w14:textFill>
            <w14:solidFill>
              <w14:schemeClr w14:val="tx1"/>
            </w14:solidFill>
          </w14:textFill>
        </w:rPr>
      </w:pPr>
      <w:bookmarkStart w:id="118" w:name="_Toc96446259"/>
      <w:r>
        <w:rPr>
          <w:rFonts w:hint="eastAsia" w:ascii="宋体" w:hAnsi="Arial"/>
          <w:bCs w:val="0"/>
          <w:color w:val="000000" w:themeColor="text1"/>
          <w:kern w:val="2"/>
          <w:sz w:val="36"/>
          <w:szCs w:val="32"/>
          <w14:textFill>
            <w14:solidFill>
              <w14:schemeClr w14:val="tx1"/>
            </w14:solidFill>
          </w14:textFill>
        </w:rPr>
        <w:t>第五章  响应文件格式</w:t>
      </w:r>
      <w:bookmarkEnd w:id="118"/>
    </w:p>
    <w:p>
      <w:pPr>
        <w:tabs>
          <w:tab w:val="left" w:pos="7665"/>
        </w:tabs>
        <w:spacing w:line="400" w:lineRule="exact"/>
        <w:ind w:firstLine="480"/>
        <w:rPr>
          <w:rFonts w:ascii="宋体" w:hAnsi="宋体"/>
          <w:bCs/>
          <w:color w:val="000000" w:themeColor="text1"/>
          <w14:textFill>
            <w14:solidFill>
              <w14:schemeClr w14:val="tx1"/>
            </w14:solidFill>
          </w14:textFill>
        </w:rPr>
      </w:pPr>
    </w:p>
    <w:p>
      <w:pPr>
        <w:ind w:firstLine="643"/>
        <w:rPr>
          <w:b/>
          <w:color w:val="000000" w:themeColor="text1"/>
          <w:sz w:val="32"/>
          <w:szCs w:val="32"/>
          <w14:textFill>
            <w14:solidFill>
              <w14:schemeClr w14:val="tx1"/>
            </w14:solidFill>
          </w14:textFill>
        </w:rPr>
      </w:pP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一、本章所制响应文件格式，除格式中明确将该格式作为实质性要求的，一律不具有强制性。</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二、本章所制响应文件格式有关表格中的备注栏，由投标人根据自身响应情况作解释性说明，不作为必填项。</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三、本章所制响应文件格式中需要填写的相关内容事项，可能会与本招标项目无关，在不改变响应文件原义、不影响本项目招标需求的情况下，投标人可以不予填写，但应当注明。</w:t>
      </w:r>
    </w:p>
    <w:p>
      <w:pPr>
        <w:ind w:firstLine="643"/>
        <w:jc w:val="center"/>
        <w:rPr>
          <w:b/>
          <w:color w:val="000000" w:themeColor="text1"/>
          <w:sz w:val="32"/>
          <w:szCs w:val="32"/>
          <w14:textFill>
            <w14:solidFill>
              <w14:schemeClr w14:val="tx1"/>
            </w14:solidFill>
          </w14:textFill>
        </w:rPr>
      </w:pPr>
    </w:p>
    <w:p>
      <w:pPr>
        <w:ind w:firstLine="643"/>
        <w:jc w:val="center"/>
        <w:rPr>
          <w:b/>
          <w:color w:val="000000" w:themeColor="text1"/>
          <w:sz w:val="32"/>
          <w:szCs w:val="32"/>
          <w14:textFill>
            <w14:solidFill>
              <w14:schemeClr w14:val="tx1"/>
            </w14:solidFill>
          </w14:textFill>
        </w:rPr>
      </w:pPr>
    </w:p>
    <w:p>
      <w:pPr>
        <w:ind w:firstLine="643"/>
        <w:jc w:val="center"/>
        <w:rPr>
          <w:b/>
          <w:color w:val="000000" w:themeColor="text1"/>
          <w:sz w:val="32"/>
          <w:szCs w:val="32"/>
          <w14:textFill>
            <w14:solidFill>
              <w14:schemeClr w14:val="tx1"/>
            </w14:solidFill>
          </w14:textFill>
        </w:rPr>
      </w:pPr>
    </w:p>
    <w:p>
      <w:pPr>
        <w:ind w:firstLine="643"/>
        <w:jc w:val="center"/>
        <w:rPr>
          <w:b/>
          <w:color w:val="000000" w:themeColor="text1"/>
          <w:sz w:val="32"/>
          <w:szCs w:val="32"/>
          <w14:textFill>
            <w14:solidFill>
              <w14:schemeClr w14:val="tx1"/>
            </w14:solidFill>
          </w14:textFill>
        </w:rPr>
      </w:pPr>
    </w:p>
    <w:p>
      <w:pPr>
        <w:ind w:firstLine="643"/>
        <w:jc w:val="center"/>
        <w:rPr>
          <w:b/>
          <w:color w:val="000000" w:themeColor="text1"/>
          <w:sz w:val="32"/>
          <w:szCs w:val="32"/>
          <w14:textFill>
            <w14:solidFill>
              <w14:schemeClr w14:val="tx1"/>
            </w14:solidFill>
          </w14:textFill>
        </w:rPr>
      </w:pPr>
    </w:p>
    <w:p>
      <w:pPr>
        <w:ind w:firstLine="643"/>
        <w:jc w:val="center"/>
        <w:rPr>
          <w:b/>
          <w:color w:val="000000" w:themeColor="text1"/>
          <w:sz w:val="32"/>
          <w:szCs w:val="32"/>
          <w14:textFill>
            <w14:solidFill>
              <w14:schemeClr w14:val="tx1"/>
            </w14:solidFill>
          </w14:textFill>
        </w:rPr>
      </w:pPr>
    </w:p>
    <w:p>
      <w:pPr>
        <w:ind w:firstLine="643"/>
        <w:jc w:val="center"/>
        <w:rPr>
          <w:b/>
          <w:color w:val="000000" w:themeColor="text1"/>
          <w:sz w:val="32"/>
          <w:szCs w:val="32"/>
          <w14:textFill>
            <w14:solidFill>
              <w14:schemeClr w14:val="tx1"/>
            </w14:solidFill>
          </w14:textFill>
        </w:rPr>
      </w:pPr>
    </w:p>
    <w:p>
      <w:pPr>
        <w:ind w:firstLine="643"/>
        <w:jc w:val="center"/>
        <w:rPr>
          <w:b/>
          <w:color w:val="000000" w:themeColor="text1"/>
          <w:sz w:val="32"/>
          <w:szCs w:val="32"/>
          <w14:textFill>
            <w14:solidFill>
              <w14:schemeClr w14:val="tx1"/>
            </w14:solidFill>
          </w14:textFill>
        </w:rPr>
      </w:pPr>
    </w:p>
    <w:p>
      <w:pPr>
        <w:ind w:firstLine="643"/>
        <w:jc w:val="center"/>
        <w:rPr>
          <w:b/>
          <w:color w:val="000000" w:themeColor="text1"/>
          <w:sz w:val="32"/>
          <w:szCs w:val="32"/>
          <w14:textFill>
            <w14:solidFill>
              <w14:schemeClr w14:val="tx1"/>
            </w14:solidFill>
          </w14:textFill>
        </w:rPr>
      </w:pPr>
    </w:p>
    <w:p>
      <w:pPr>
        <w:ind w:firstLine="643"/>
        <w:jc w:val="center"/>
        <w:rPr>
          <w:b/>
          <w:color w:val="000000" w:themeColor="text1"/>
          <w:sz w:val="32"/>
          <w:szCs w:val="32"/>
          <w14:textFill>
            <w14:solidFill>
              <w14:schemeClr w14:val="tx1"/>
            </w14:solidFill>
          </w14:textFill>
        </w:rPr>
      </w:pPr>
    </w:p>
    <w:p>
      <w:pPr>
        <w:ind w:firstLine="643"/>
        <w:jc w:val="center"/>
        <w:rPr>
          <w:b/>
          <w:color w:val="000000" w:themeColor="text1"/>
          <w:sz w:val="32"/>
          <w:szCs w:val="32"/>
          <w14:textFill>
            <w14:solidFill>
              <w14:schemeClr w14:val="tx1"/>
            </w14:solidFill>
          </w14:textFill>
        </w:rPr>
      </w:pPr>
    </w:p>
    <w:p>
      <w:pPr>
        <w:ind w:firstLine="643"/>
        <w:jc w:val="center"/>
        <w:rPr>
          <w:b/>
          <w:color w:val="000000" w:themeColor="text1"/>
          <w:sz w:val="32"/>
          <w:szCs w:val="32"/>
          <w14:textFill>
            <w14:solidFill>
              <w14:schemeClr w14:val="tx1"/>
            </w14:solidFill>
          </w14:textFill>
        </w:rPr>
      </w:pPr>
    </w:p>
    <w:p>
      <w:pPr>
        <w:ind w:firstLine="643"/>
        <w:jc w:val="center"/>
        <w:rPr>
          <w:b/>
          <w:color w:val="000000" w:themeColor="text1"/>
          <w:sz w:val="32"/>
          <w:szCs w:val="32"/>
          <w14:textFill>
            <w14:solidFill>
              <w14:schemeClr w14:val="tx1"/>
            </w14:solidFill>
          </w14:textFill>
        </w:rPr>
      </w:pPr>
    </w:p>
    <w:p>
      <w:pPr>
        <w:ind w:firstLine="643"/>
        <w:jc w:val="center"/>
        <w:rPr>
          <w:b/>
          <w:color w:val="000000" w:themeColor="text1"/>
          <w:sz w:val="32"/>
          <w:szCs w:val="32"/>
          <w14:textFill>
            <w14:solidFill>
              <w14:schemeClr w14:val="tx1"/>
            </w14:solidFill>
          </w14:textFill>
        </w:rPr>
      </w:pPr>
    </w:p>
    <w:p>
      <w:pPr>
        <w:ind w:firstLine="643"/>
        <w:rPr>
          <w:b/>
          <w:color w:val="000000" w:themeColor="text1"/>
          <w:sz w:val="32"/>
          <w:szCs w:val="32"/>
          <w14:textFill>
            <w14:solidFill>
              <w14:schemeClr w14:val="tx1"/>
            </w14:solidFill>
          </w14:textFill>
        </w:rPr>
      </w:pPr>
    </w:p>
    <w:p>
      <w:pPr>
        <w:pStyle w:val="3"/>
        <w:ind w:firstLine="562"/>
        <w:rPr>
          <w:color w:val="000000" w:themeColor="text1"/>
          <w:sz w:val="24"/>
          <w14:textFill>
            <w14:solidFill>
              <w14:schemeClr w14:val="tx1"/>
            </w14:solidFill>
          </w14:textFill>
        </w:rPr>
      </w:pPr>
      <w:r>
        <w:rPr>
          <w:color w:val="000000" w:themeColor="text1"/>
          <w14:textFill>
            <w14:solidFill>
              <w14:schemeClr w14:val="tx1"/>
            </w14:solidFill>
          </w14:textFill>
        </w:rPr>
        <w:br w:type="page"/>
      </w:r>
      <w:bookmarkStart w:id="119" w:name="_Toc96446260"/>
      <w:r>
        <w:rPr>
          <w:rFonts w:hint="eastAsia"/>
          <w:color w:val="000000" w:themeColor="text1"/>
          <w14:textFill>
            <w14:solidFill>
              <w14:schemeClr w14:val="tx1"/>
            </w14:solidFill>
          </w14:textFill>
        </w:rPr>
        <w:t>一、</w:t>
      </w:r>
      <w:bookmarkStart w:id="120" w:name="_Toc94345760"/>
      <w:r>
        <w:rPr>
          <w:rFonts w:hint="eastAsia"/>
          <w:color w:val="000000" w:themeColor="text1"/>
          <w14:textFill>
            <w14:solidFill>
              <w14:schemeClr w14:val="tx1"/>
            </w14:solidFill>
          </w14:textFill>
        </w:rPr>
        <w:t>响应函</w:t>
      </w:r>
      <w:bookmarkEnd w:id="119"/>
      <w:bookmarkEnd w:id="120"/>
    </w:p>
    <w:p>
      <w:pPr>
        <w:ind w:firstLine="480"/>
        <w:rPr>
          <w:rFonts w:ascii="宋体" w:hAnsi="宋体"/>
          <w:color w:val="000000" w:themeColor="text1"/>
          <w14:textFill>
            <w14:solidFill>
              <w14:schemeClr w14:val="tx1"/>
            </w14:solidFill>
          </w14:textFill>
        </w:rPr>
      </w:pP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（招标人名称）：</w:t>
      </w:r>
    </w:p>
    <w:p>
      <w:pPr>
        <w:ind w:firstLine="480"/>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我方全面研究了“</w:t>
      </w:r>
      <w:r>
        <w:rPr>
          <w:rFonts w:hint="eastAsia" w:ascii="宋体" w:hAnsi="宋体"/>
          <w:color w:val="000000" w:themeColor="text1"/>
          <w:u w:val="single"/>
          <w14:textFill>
            <w14:solidFill>
              <w14:schemeClr w14:val="tx1"/>
            </w14:solidFill>
          </w14:textFill>
        </w:rPr>
        <w:t xml:space="preserve">  项目名称   </w:t>
      </w:r>
      <w:r>
        <w:rPr>
          <w:rFonts w:hint="eastAsia" w:ascii="宋体" w:hAnsi="宋体"/>
          <w:color w:val="000000" w:themeColor="text1"/>
          <w14:textFill>
            <w14:solidFill>
              <w14:schemeClr w14:val="tx1"/>
            </w14:solidFill>
          </w14:textFill>
        </w:rPr>
        <w:t>”项目招标文件，决定参加贵单位组织的本项目的招标，并自觉遵守招标文件等相关规定，遵守招标规则，维护正常的招标秩序。我方授权</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（姓名、职务）代表我方</w:t>
      </w:r>
      <w:r>
        <w:rPr>
          <w:rFonts w:ascii="宋体" w:hAnsi="宋体"/>
          <w:color w:val="000000" w:themeColor="text1"/>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（投标人名称）全权处理本项目招标的有关事宜。</w:t>
      </w:r>
    </w:p>
    <w:p>
      <w:pPr>
        <w:ind w:firstLine="48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、我方自愿按照招标文件规定的各项要求向招标人提供所需货物，</w:t>
      </w:r>
      <w:r>
        <w:rPr>
          <w:rFonts w:hint="eastAsia" w:ascii="宋体" w:hAnsi="宋体"/>
          <w:bCs/>
          <w:color w:val="000000" w:themeColor="text1"/>
          <w:spacing w:val="8"/>
          <w14:textFill>
            <w14:solidFill>
              <w14:schemeClr w14:val="tx1"/>
            </w14:solidFill>
          </w14:textFill>
        </w:rPr>
        <w:t>提供的货物等所有权无瑕疵</w:t>
      </w:r>
      <w:r>
        <w:rPr>
          <w:rFonts w:hint="eastAsia" w:ascii="宋体" w:hAnsi="宋体"/>
          <w:color w:val="000000" w:themeColor="text1"/>
          <w14:textFill>
            <w14:solidFill>
              <w14:schemeClr w14:val="tx1"/>
            </w14:solidFill>
          </w14:textFill>
        </w:rPr>
        <w:t>。单价报价为人民币</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元（大写：</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）/标箱（到达）和人民币</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元（大写：</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）/标箱（发运）。</w:t>
      </w:r>
    </w:p>
    <w:p>
      <w:pPr>
        <w:ind w:firstLine="48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、一旦我方成交，我方将严格履行协议规定的责任和义务，保证于协议签字生效后</w:t>
      </w:r>
      <w:r>
        <w:rPr>
          <w:rFonts w:ascii="宋体" w:hAnsi="宋体"/>
          <w:color w:val="000000" w:themeColor="text1"/>
          <w:u w:val="single"/>
          <w14:textFill>
            <w14:solidFill>
              <w14:schemeClr w14:val="tx1"/>
            </w14:solidFill>
          </w14:textFill>
        </w:rPr>
        <w:t xml:space="preserve">  </w:t>
      </w: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日内开始项目实施。</w:t>
      </w:r>
    </w:p>
    <w:p>
      <w:pPr>
        <w:ind w:firstLine="48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、我方同意按照招标文件的要求，向贵单位缴纳人民币</w:t>
      </w:r>
      <w:r>
        <w:rPr>
          <w:rFonts w:ascii="宋体" w:hAnsi="宋体"/>
          <w:color w:val="000000" w:themeColor="text1"/>
          <w:u w:val="single"/>
          <w14:textFill>
            <w14:solidFill>
              <w14:schemeClr w14:val="tx1"/>
            </w14:solidFill>
          </w14:textFill>
        </w:rPr>
        <w:t xml:space="preserve">  10  </w:t>
      </w:r>
      <w:r>
        <w:rPr>
          <w:rFonts w:hint="eastAsia" w:ascii="宋体" w:hAnsi="宋体"/>
          <w:color w:val="000000" w:themeColor="text1"/>
          <w14:textFill>
            <w14:solidFill>
              <w14:schemeClr w14:val="tx1"/>
            </w14:solidFill>
          </w14:textFill>
        </w:rPr>
        <w:t>万元（大写：</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拾万元整</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）的投标保证金。并承诺：下列任何情况发生时，我方将不要求退还投标保证金，同时，接受失信行为记录、曝光通报、罚款、一定时期禁入等相关处理：</w:t>
      </w: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）如果我方在有招标效期内撤回投标申请；</w:t>
      </w: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）我方提供了虚假响应招标文件的响应文件；</w:t>
      </w: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）在招标过程中有违法违规违纪行为（如采取不正当手段诋毁、排挤其他投标人；恶意串通；恶意质疑、投诉；向相关人员行贿或提供其他不正当利益）；</w:t>
      </w: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4</w:t>
      </w:r>
      <w:r>
        <w:rPr>
          <w:rFonts w:hint="eastAsia" w:ascii="宋体" w:hAnsi="宋体"/>
          <w:color w:val="000000" w:themeColor="text1"/>
          <w14:textFill>
            <w14:solidFill>
              <w14:schemeClr w14:val="tx1"/>
            </w14:solidFill>
          </w14:textFill>
        </w:rPr>
        <w:t>）在招标有效期内收到成交通知书后，由于我方原因未能按照招标文件要求与招标人签订并履行合同。</w:t>
      </w:r>
    </w:p>
    <w:p>
      <w:pPr>
        <w:ind w:firstLine="48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w:t>
      </w:r>
      <w:r>
        <w:rPr>
          <w:rFonts w:hint="eastAsia" w:ascii="宋体" w:hAnsi="宋体"/>
          <w:color w:val="000000" w:themeColor="text1"/>
          <w14:textFill>
            <w14:solidFill>
              <w14:schemeClr w14:val="tx1"/>
            </w14:solidFill>
          </w14:textFill>
        </w:rPr>
        <w:t>、我方愿意提供贵单位可能另外要求的，与招标有关的文件资料，并保证我方已提供和将要提供的文件资料是真实、准确的。</w:t>
      </w:r>
    </w:p>
    <w:p>
      <w:pPr>
        <w:adjustRightInd w:val="0"/>
        <w:ind w:firstLine="48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w:t>
      </w:r>
      <w:r>
        <w:rPr>
          <w:rFonts w:hint="eastAsia" w:ascii="宋体" w:hAnsi="宋体"/>
          <w:color w:val="000000" w:themeColor="text1"/>
          <w14:textFill>
            <w14:solidFill>
              <w14:schemeClr w14:val="tx1"/>
            </w14:solidFill>
          </w14:textFill>
        </w:rPr>
        <w:t>、我方同意本次招标的有效期为招标之日起</w:t>
      </w:r>
      <w:r>
        <w:rPr>
          <w:rFonts w:ascii="宋体" w:hAnsi="宋体"/>
          <w:color w:val="000000" w:themeColor="text1"/>
          <w:u w:val="single"/>
          <w14:textFill>
            <w14:solidFill>
              <w14:schemeClr w14:val="tx1"/>
            </w14:solidFill>
          </w14:textFill>
        </w:rPr>
        <w:t>30</w:t>
      </w:r>
      <w:r>
        <w:rPr>
          <w:rFonts w:hint="eastAsia" w:ascii="宋体" w:hAnsi="宋体"/>
          <w:color w:val="000000" w:themeColor="text1"/>
          <w:u w:val="single"/>
          <w14:textFill>
            <w14:solidFill>
              <w14:schemeClr w14:val="tx1"/>
            </w14:solidFill>
          </w14:textFill>
        </w:rPr>
        <w:t>天</w:t>
      </w:r>
      <w:r>
        <w:rPr>
          <w:rFonts w:hint="eastAsia" w:ascii="宋体" w:hAnsi="宋体"/>
          <w:color w:val="000000" w:themeColor="text1"/>
          <w14:textFill>
            <w14:solidFill>
              <w14:schemeClr w14:val="tx1"/>
            </w14:solidFill>
          </w14:textFill>
        </w:rPr>
        <w:t>。响应文件</w:t>
      </w:r>
      <w:r>
        <w:rPr>
          <w:rFonts w:hint="eastAsia" w:ascii="宋体" w:hAnsi="宋体"/>
          <w:color w:val="000000" w:themeColor="text1"/>
          <w:u w:val="single"/>
          <w14:textFill>
            <w14:solidFill>
              <w14:schemeClr w14:val="tx1"/>
            </w14:solidFill>
          </w14:textFill>
        </w:rPr>
        <w:t>1</w:t>
      </w:r>
      <w:r>
        <w:rPr>
          <w:rFonts w:hint="eastAsia" w:ascii="宋体" w:hAnsi="宋体"/>
          <w:color w:val="000000" w:themeColor="text1"/>
          <w14:textFill>
            <w14:solidFill>
              <w14:schemeClr w14:val="tx1"/>
            </w14:solidFill>
          </w14:textFill>
        </w:rPr>
        <w:t>正</w:t>
      </w:r>
      <w:r>
        <w:rPr>
          <w:rFonts w:ascii="宋体" w:hAnsi="宋体"/>
          <w:color w:val="000000" w:themeColor="text1"/>
          <w:u w:val="single"/>
          <w14:textFill>
            <w14:solidFill>
              <w14:schemeClr w14:val="tx1"/>
            </w14:solidFill>
          </w14:textFill>
        </w:rPr>
        <w:t>1</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副。特殊情况下，招标人可于招标有效期满之前书面要求我方同意延长有效期。我方如拒绝延长招标有效期，将不得再参与该项目后续招标活动。如同意延长招标有效期，我方不能修改响应文件。</w:t>
      </w:r>
    </w:p>
    <w:p>
      <w:pPr>
        <w:adjustRightInd w:val="0"/>
        <w:ind w:firstLine="48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6</w:t>
      </w:r>
      <w:r>
        <w:rPr>
          <w:rFonts w:hint="eastAsia" w:ascii="宋体" w:hAnsi="宋体"/>
          <w:color w:val="000000" w:themeColor="text1"/>
          <w14:textFill>
            <w14:solidFill>
              <w14:schemeClr w14:val="tx1"/>
            </w14:solidFill>
          </w14:textFill>
        </w:rPr>
        <w:t>、我方完全理解招标人不一定将合同授予最低报价的投标人的行为。</w:t>
      </w:r>
    </w:p>
    <w:p>
      <w:pPr>
        <w:adjustRightInd w:val="0"/>
        <w:ind w:firstLine="0" w:firstLineChars="0"/>
        <w:rPr>
          <w:rFonts w:ascii="宋体" w:hAnsi="宋体"/>
          <w:color w:val="000000" w:themeColor="text1"/>
          <w14:textFill>
            <w14:solidFill>
              <w14:schemeClr w14:val="tx1"/>
            </w14:solidFill>
          </w14:textFill>
        </w:rPr>
      </w:pP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投标人名称：</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（盖章）</w:t>
      </w: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法定代表人或授权代表（签字或盖章）：</w:t>
      </w: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通讯地址：                               邮政编码：</w:t>
      </w: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联系电话：                               传</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真：</w:t>
      </w: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日</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期：</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年</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月</w:t>
      </w:r>
    </w:p>
    <w:p>
      <w:pPr>
        <w:pStyle w:val="3"/>
        <w:ind w:firstLine="482"/>
        <w:rPr>
          <w:color w:val="000000" w:themeColor="text1"/>
          <w14:textFill>
            <w14:solidFill>
              <w14:schemeClr w14:val="tx1"/>
            </w14:solidFill>
          </w14:textFill>
        </w:rPr>
      </w:pPr>
      <w:r>
        <w:rPr>
          <w:rFonts w:ascii="宋体" w:hAnsi="宋体"/>
          <w:color w:val="000000" w:themeColor="text1"/>
          <w:sz w:val="24"/>
          <w14:textFill>
            <w14:solidFill>
              <w14:schemeClr w14:val="tx1"/>
            </w14:solidFill>
          </w14:textFill>
        </w:rPr>
        <w:br w:type="page"/>
      </w:r>
      <w:bookmarkStart w:id="121" w:name="_Toc11832144"/>
      <w:bookmarkStart w:id="122" w:name="_Toc96446261"/>
      <w:bookmarkStart w:id="123" w:name="_Toc13564302"/>
      <w:bookmarkStart w:id="124" w:name="_Toc11764033"/>
      <w:bookmarkStart w:id="125" w:name="_Toc94345768"/>
      <w:r>
        <w:rPr>
          <w:rFonts w:hint="eastAsia" w:ascii="宋体" w:hAnsi="宋体"/>
          <w:color w:val="000000" w:themeColor="text1"/>
          <w:sz w:val="24"/>
          <w14:textFill>
            <w14:solidFill>
              <w14:schemeClr w14:val="tx1"/>
            </w14:solidFill>
          </w14:textFill>
        </w:rPr>
        <w:t>二、</w:t>
      </w:r>
      <w:r>
        <w:rPr>
          <w:rFonts w:hint="eastAsia"/>
          <w:color w:val="000000" w:themeColor="text1"/>
          <w14:textFill>
            <w14:solidFill>
              <w14:schemeClr w14:val="tx1"/>
            </w14:solidFill>
          </w14:textFill>
        </w:rPr>
        <w:t>法定代表人身份证明</w:t>
      </w:r>
      <w:bookmarkEnd w:id="121"/>
      <w:bookmarkEnd w:id="122"/>
      <w:bookmarkEnd w:id="123"/>
      <w:bookmarkEnd w:id="124"/>
      <w:bookmarkEnd w:id="125"/>
    </w:p>
    <w:p>
      <w:pPr>
        <w:snapToGrid w:val="0"/>
        <w:spacing w:line="400" w:lineRule="exact"/>
        <w:ind w:firstLine="480"/>
        <w:jc w:val="center"/>
        <w:rPr>
          <w:rFonts w:ascii="宋体" w:hAnsi="宋体" w:cs="宋体"/>
          <w:color w:val="000000" w:themeColor="text1"/>
          <w:kern w:val="0"/>
          <w:szCs w:val="21"/>
          <w14:textFill>
            <w14:solidFill>
              <w14:schemeClr w14:val="tx1"/>
            </w14:solidFill>
          </w14:textFill>
        </w:rPr>
      </w:pPr>
    </w:p>
    <w:p>
      <w:pPr>
        <w:ind w:firstLine="480"/>
        <w:rPr>
          <w:rFonts w:ascii="宋体" w:hAnsi="宋体"/>
          <w:color w:val="000000" w:themeColor="text1"/>
          <w14:textFill>
            <w14:solidFill>
              <w14:schemeClr w14:val="tx1"/>
            </w14:solidFill>
          </w14:textFill>
        </w:rPr>
      </w:pP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（招标人名称）：</w:t>
      </w:r>
    </w:p>
    <w:p>
      <w:pPr>
        <w:adjustRightInd w:val="0"/>
        <w:spacing w:line="480" w:lineRule="exact"/>
        <w:ind w:firstLine="512"/>
        <w:rPr>
          <w:rFonts w:ascii="宋体" w:hAnsi="宋体"/>
          <w:bCs/>
          <w:color w:val="000000" w:themeColor="text1"/>
          <w:spacing w:val="8"/>
          <w14:textFill>
            <w14:solidFill>
              <w14:schemeClr w14:val="tx1"/>
            </w14:solidFill>
          </w14:textFill>
        </w:rPr>
      </w:pPr>
      <w:r>
        <w:rPr>
          <w:rFonts w:hint="eastAsia" w:ascii="宋体" w:hAnsi="宋体"/>
          <w:bCs/>
          <w:color w:val="000000" w:themeColor="text1"/>
          <w:spacing w:val="8"/>
          <w14:textFill>
            <w14:solidFill>
              <w14:schemeClr w14:val="tx1"/>
            </w14:solidFill>
          </w14:textFill>
        </w:rPr>
        <w:t>兹声明：</w:t>
      </w:r>
      <w:r>
        <w:rPr>
          <w:rFonts w:hint="eastAsia" w:ascii="宋体" w:hAnsi="宋体"/>
          <w:bCs/>
          <w:color w:val="000000" w:themeColor="text1"/>
          <w:spacing w:val="8"/>
          <w:u w:val="single"/>
          <w14:textFill>
            <w14:solidFill>
              <w14:schemeClr w14:val="tx1"/>
            </w14:solidFill>
          </w14:textFill>
        </w:rPr>
        <w:t xml:space="preserve">  （姓名） </w:t>
      </w:r>
      <w:r>
        <w:rPr>
          <w:rFonts w:hint="eastAsia" w:ascii="宋体" w:hAnsi="宋体"/>
          <w:bCs/>
          <w:color w:val="000000" w:themeColor="text1"/>
          <w:spacing w:val="8"/>
          <w14:textFill>
            <w14:solidFill>
              <w14:schemeClr w14:val="tx1"/>
            </w14:solidFill>
          </w14:textFill>
        </w:rPr>
        <w:t>系</w:t>
      </w:r>
      <w:r>
        <w:rPr>
          <w:rFonts w:hint="eastAsia" w:ascii="宋体" w:hAnsi="宋体"/>
          <w:bCs/>
          <w:color w:val="000000" w:themeColor="text1"/>
          <w:spacing w:val="8"/>
          <w:u w:val="single"/>
          <w14:textFill>
            <w14:solidFill>
              <w14:schemeClr w14:val="tx1"/>
            </w14:solidFill>
          </w14:textFill>
        </w:rPr>
        <w:t xml:space="preserve">    （投标人名称）   </w:t>
      </w:r>
      <w:r>
        <w:rPr>
          <w:rFonts w:hint="eastAsia" w:ascii="宋体" w:hAnsi="宋体"/>
          <w:bCs/>
          <w:color w:val="000000" w:themeColor="text1"/>
          <w:spacing w:val="8"/>
          <w14:textFill>
            <w14:solidFill>
              <w14:schemeClr w14:val="tx1"/>
            </w14:solidFill>
          </w14:textFill>
        </w:rPr>
        <w:t>的法定代表人（职务</w:t>
      </w:r>
      <w:r>
        <w:rPr>
          <w:rFonts w:hint="eastAsia" w:ascii="宋体" w:hAnsi="宋体"/>
          <w:bCs/>
          <w:color w:val="000000" w:themeColor="text1"/>
          <w:spacing w:val="8"/>
          <w:u w:val="single"/>
          <w14:textFill>
            <w14:solidFill>
              <w14:schemeClr w14:val="tx1"/>
            </w14:solidFill>
          </w14:textFill>
        </w:rPr>
        <w:t xml:space="preserve">      </w:t>
      </w:r>
      <w:r>
        <w:rPr>
          <w:rFonts w:hint="eastAsia" w:ascii="宋体" w:hAnsi="宋体"/>
          <w:bCs/>
          <w:color w:val="000000" w:themeColor="text1"/>
          <w:spacing w:val="8"/>
          <w14:textFill>
            <w14:solidFill>
              <w14:schemeClr w14:val="tx1"/>
            </w14:solidFill>
          </w14:textFill>
        </w:rPr>
        <w:t>），为我方“</w:t>
      </w:r>
      <w:r>
        <w:rPr>
          <w:rFonts w:hint="eastAsia" w:ascii="宋体" w:hAnsi="宋体"/>
          <w:bCs/>
          <w:color w:val="000000" w:themeColor="text1"/>
          <w:spacing w:val="8"/>
          <w:u w:val="single"/>
          <w14:textFill>
            <w14:solidFill>
              <w14:schemeClr w14:val="tx1"/>
            </w14:solidFill>
          </w14:textFill>
        </w:rPr>
        <w:t xml:space="preserve">      项目名称    </w:t>
      </w:r>
      <w:r>
        <w:rPr>
          <w:rFonts w:hint="eastAsia" w:ascii="宋体" w:hAnsi="宋体"/>
          <w:bCs/>
          <w:color w:val="000000" w:themeColor="text1"/>
          <w:spacing w:val="8"/>
          <w14:textFill>
            <w14:solidFill>
              <w14:schemeClr w14:val="tx1"/>
            </w14:solidFill>
          </w14:textFill>
        </w:rPr>
        <w:t>”项目招标活动的合法代表，以我方名义全权处理该项目有关投标、签订合同以及执行合同等一切事宜。</w:t>
      </w:r>
    </w:p>
    <w:p>
      <w:pPr>
        <w:adjustRightInd w:val="0"/>
        <w:spacing w:line="480" w:lineRule="exact"/>
        <w:ind w:firstLine="512"/>
        <w:rPr>
          <w:rFonts w:ascii="宋体" w:hAnsi="宋体"/>
          <w:bCs/>
          <w:color w:val="000000" w:themeColor="text1"/>
          <w:spacing w:val="8"/>
          <w14:textFill>
            <w14:solidFill>
              <w14:schemeClr w14:val="tx1"/>
            </w14:solidFill>
          </w14:textFill>
        </w:rPr>
      </w:pPr>
      <w:r>
        <w:rPr>
          <w:rFonts w:hint="eastAsia" w:ascii="宋体" w:hAnsi="宋体"/>
          <w:bCs/>
          <w:color w:val="000000" w:themeColor="text1"/>
          <w:spacing w:val="8"/>
          <w14:textFill>
            <w14:solidFill>
              <w14:schemeClr w14:val="tx1"/>
            </w14:solidFill>
          </w14:textFill>
        </w:rPr>
        <w:t>特此声明。</w:t>
      </w:r>
    </w:p>
    <w:p>
      <w:pPr>
        <w:snapToGrid w:val="0"/>
        <w:spacing w:line="480" w:lineRule="exact"/>
        <w:ind w:firstLine="480"/>
        <w:rPr>
          <w:rFonts w:ascii="宋体" w:hAnsi="宋体"/>
          <w:color w:val="000000" w:themeColor="text1"/>
          <w14:textFill>
            <w14:solidFill>
              <w14:schemeClr w14:val="tx1"/>
            </w14:solidFill>
          </w14:textFill>
        </w:rPr>
      </w:pPr>
    </w:p>
    <w:p>
      <w:pPr>
        <w:snapToGrid w:val="0"/>
        <w:spacing w:line="480" w:lineRule="exact"/>
        <w:ind w:firstLine="480"/>
        <w:rPr>
          <w:rFonts w:ascii="宋体" w:hAnsi="宋体"/>
          <w:color w:val="000000" w:themeColor="text1"/>
          <w14:textFill>
            <w14:solidFill>
              <w14:schemeClr w14:val="tx1"/>
            </w14:solidFill>
          </w14:textFill>
        </w:rPr>
      </w:pPr>
    </w:p>
    <w:p>
      <w:pPr>
        <w:snapToGrid w:val="0"/>
        <w:spacing w:line="480" w:lineRule="exact"/>
        <w:ind w:firstLine="480"/>
        <w:rPr>
          <w:rFonts w:ascii="宋体" w:hAnsi="宋体"/>
          <w:color w:val="000000" w:themeColor="text1"/>
          <w14:textFill>
            <w14:solidFill>
              <w14:schemeClr w14:val="tx1"/>
            </w14:solidFill>
          </w14:textFill>
        </w:rPr>
      </w:pPr>
    </w:p>
    <w:p>
      <w:pPr>
        <w:snapToGrid w:val="0"/>
        <w:spacing w:line="480" w:lineRule="exact"/>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法定代表人</w:t>
      </w:r>
      <w:r>
        <w:rPr>
          <w:rFonts w:hint="eastAsia" w:ascii="宋体" w:hAnsi="宋体"/>
          <w:bCs/>
          <w:color w:val="000000" w:themeColor="text1"/>
          <w:spacing w:val="8"/>
          <w14:textFill>
            <w14:solidFill>
              <w14:schemeClr w14:val="tx1"/>
            </w14:solidFill>
          </w14:textFill>
        </w:rPr>
        <w:t>（签字或盖章）</w:t>
      </w:r>
      <w:r>
        <w:rPr>
          <w:rFonts w:hint="eastAsia" w:ascii="宋体" w:hAnsi="宋体"/>
          <w:color w:val="000000" w:themeColor="text1"/>
          <w14:textFill>
            <w14:solidFill>
              <w14:schemeClr w14:val="tx1"/>
            </w14:solidFill>
          </w14:textFill>
        </w:rPr>
        <w:t>：</w:t>
      </w:r>
    </w:p>
    <w:p>
      <w:pPr>
        <w:snapToGrid w:val="0"/>
        <w:spacing w:line="480" w:lineRule="exact"/>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投标人名称：         （盖章）</w:t>
      </w:r>
    </w:p>
    <w:p>
      <w:pPr>
        <w:spacing w:line="480" w:lineRule="exact"/>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日    期：      年      月     日</w:t>
      </w:r>
    </w:p>
    <w:p>
      <w:pPr>
        <w:adjustRightInd w:val="0"/>
        <w:snapToGrid w:val="0"/>
        <w:ind w:firstLine="490"/>
        <w:rPr>
          <w:rFonts w:ascii="宋体" w:hAnsi="宋体" w:cs="Adobe ?? Std R"/>
          <w:b/>
          <w:color w:val="000000" w:themeColor="text1"/>
          <w:spacing w:val="2"/>
          <w:kern w:val="0"/>
          <w:szCs w:val="20"/>
          <w14:textFill>
            <w14:solidFill>
              <w14:schemeClr w14:val="tx1"/>
            </w14:solidFill>
          </w14:textFill>
        </w:rPr>
      </w:pPr>
    </w:p>
    <w:p>
      <w:pPr>
        <w:adjustRightInd w:val="0"/>
        <w:snapToGrid w:val="0"/>
        <w:ind w:firstLine="490"/>
        <w:rPr>
          <w:rFonts w:ascii="宋体" w:hAnsi="宋体" w:cs="Adobe ?? Std R"/>
          <w:b/>
          <w:color w:val="000000" w:themeColor="text1"/>
          <w:spacing w:val="2"/>
          <w:kern w:val="0"/>
          <w:szCs w:val="20"/>
          <w14:textFill>
            <w14:solidFill>
              <w14:schemeClr w14:val="tx1"/>
            </w14:solidFill>
          </w14:textFill>
        </w:rPr>
      </w:pPr>
    </w:p>
    <w:p>
      <w:pPr>
        <w:adjustRightInd w:val="0"/>
        <w:snapToGrid w:val="0"/>
        <w:ind w:firstLine="490"/>
        <w:rPr>
          <w:rFonts w:ascii="宋体" w:hAnsi="宋体" w:cs="Adobe ?? Std R"/>
          <w:b/>
          <w:color w:val="000000" w:themeColor="text1"/>
          <w:spacing w:val="2"/>
          <w:kern w:val="0"/>
          <w:szCs w:val="20"/>
          <w14:textFill>
            <w14:solidFill>
              <w14:schemeClr w14:val="tx1"/>
            </w14:solidFill>
          </w14:textFill>
        </w:rPr>
      </w:pPr>
      <w:r>
        <w:rPr>
          <w:rFonts w:hint="eastAsia" w:ascii="宋体" w:hAnsi="宋体" w:cs="Adobe ?? Std R"/>
          <w:b/>
          <w:color w:val="000000" w:themeColor="text1"/>
          <w:spacing w:val="2"/>
          <w:kern w:val="0"/>
          <w:szCs w:val="20"/>
          <w14:textFill>
            <w14:solidFill>
              <w14:schemeClr w14:val="tx1"/>
            </w14:solidFill>
          </w14:textFill>
        </w:rPr>
        <w:t>注：1、上述证明文件附有法定代表人身份证复印件和代理人身份证复印件（身份证两面均应复印）时才能生效，不允许粘贴。</w:t>
      </w:r>
    </w:p>
    <w:p>
      <w:pPr>
        <w:adjustRightInd w:val="0"/>
        <w:snapToGrid w:val="0"/>
        <w:ind w:firstLine="980" w:firstLineChars="400"/>
        <w:rPr>
          <w:rFonts w:ascii="宋体" w:cs="Adobe ?? Std R"/>
          <w:b/>
          <w:color w:val="000000" w:themeColor="text1"/>
          <w:spacing w:val="2"/>
          <w:kern w:val="0"/>
          <w:szCs w:val="20"/>
          <w14:textFill>
            <w14:solidFill>
              <w14:schemeClr w14:val="tx1"/>
            </w14:solidFill>
          </w14:textFill>
        </w:rPr>
      </w:pPr>
      <w:r>
        <w:rPr>
          <w:rFonts w:hint="eastAsia" w:ascii="宋体" w:hAnsi="宋体" w:cs="Adobe ?? Std R"/>
          <w:b/>
          <w:color w:val="000000" w:themeColor="text1"/>
          <w:spacing w:val="2"/>
          <w:kern w:val="0"/>
          <w:szCs w:val="20"/>
          <w14:textFill>
            <w14:solidFill>
              <w14:schemeClr w14:val="tx1"/>
            </w14:solidFill>
          </w14:textFill>
        </w:rPr>
        <w:t>2、响应文件均由投标人法定代表人签字或加盖印章的，可不提供法定代表人授权委托书及代理人身份证复印件，但必须提供法定代表人身份证复印件。</w:t>
      </w:r>
    </w:p>
    <w:p>
      <w:pPr>
        <w:pStyle w:val="3"/>
        <w:ind w:firstLine="562"/>
        <w:rPr>
          <w:color w:val="000000" w:themeColor="text1"/>
          <w14:textFill>
            <w14:solidFill>
              <w14:schemeClr w14:val="tx1"/>
            </w14:solidFill>
          </w14:textFill>
        </w:rPr>
      </w:pPr>
      <w:r>
        <w:rPr>
          <w:color w:val="000000" w:themeColor="text1"/>
          <w14:textFill>
            <w14:solidFill>
              <w14:schemeClr w14:val="tx1"/>
            </w14:solidFill>
          </w14:textFill>
        </w:rPr>
        <w:br w:type="page"/>
      </w:r>
      <w:r>
        <w:rPr>
          <w:rFonts w:hint="eastAsia"/>
          <w:color w:val="000000" w:themeColor="text1"/>
          <w14:textFill>
            <w14:solidFill>
              <w14:schemeClr w14:val="tx1"/>
            </w14:solidFill>
          </w14:textFill>
        </w:rPr>
        <w:t>二、法定代表人授权书</w:t>
      </w:r>
    </w:p>
    <w:p>
      <w:pPr>
        <w:ind w:firstLine="883"/>
        <w:jc w:val="center"/>
        <w:rPr>
          <w:b/>
          <w:color w:val="000000" w:themeColor="text1"/>
          <w:sz w:val="44"/>
          <w14:textFill>
            <w14:solidFill>
              <w14:schemeClr w14:val="tx1"/>
            </w14:solidFill>
          </w14:textFill>
        </w:rPr>
      </w:pPr>
    </w:p>
    <w:p>
      <w:pPr>
        <w:ind w:firstLine="480"/>
        <w:rPr>
          <w:rFonts w:ascii="宋体" w:hAnsi="宋体"/>
          <w:color w:val="000000" w:themeColor="text1"/>
          <w14:textFill>
            <w14:solidFill>
              <w14:schemeClr w14:val="tx1"/>
            </w14:solidFill>
          </w14:textFill>
        </w:rPr>
      </w:pP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（招标人名称）：</w:t>
      </w: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本授权声明：</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（单位名称）,</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（法定代表人姓名、职务）授权</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XXX</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（被授权人姓名、职务）为我方参加XXX项目投标活动的合法代表，以我方名义全权处理该项目有关招标、报价、签订合同以及执行合同等一切事宜。</w:t>
      </w: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特此声明。</w:t>
      </w:r>
    </w:p>
    <w:p>
      <w:pPr>
        <w:ind w:firstLine="480"/>
        <w:rPr>
          <w:rFonts w:ascii="宋体" w:hAnsi="宋体"/>
          <w:color w:val="000000" w:themeColor="text1"/>
          <w14:textFill>
            <w14:solidFill>
              <w14:schemeClr w14:val="tx1"/>
            </w14:solidFill>
          </w14:textFill>
        </w:rPr>
      </w:pPr>
    </w:p>
    <w:p>
      <w:pPr>
        <w:ind w:firstLine="480"/>
        <w:rPr>
          <w:rFonts w:ascii="宋体" w:hAnsi="宋体"/>
          <w:color w:val="000000" w:themeColor="text1"/>
          <w14:textFill>
            <w14:solidFill>
              <w14:schemeClr w14:val="tx1"/>
            </w14:solidFill>
          </w14:textFill>
        </w:rPr>
      </w:pP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投标人名称：</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（盖单位公章）</w:t>
      </w: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法定代表人</w:t>
      </w:r>
      <w:r>
        <w:rPr>
          <w:rFonts w:hint="eastAsia"/>
          <w:bCs/>
          <w:color w:val="000000" w:themeColor="text1"/>
          <w14:textFill>
            <w14:solidFill>
              <w14:schemeClr w14:val="tx1"/>
            </w14:solidFill>
          </w14:textFill>
        </w:rPr>
        <w:t>或授权代表（签字或盖章）</w:t>
      </w:r>
      <w:r>
        <w:rPr>
          <w:rFonts w:hint="eastAsia" w:ascii="宋体" w:hAnsi="宋体"/>
          <w:color w:val="000000" w:themeColor="text1"/>
          <w14:textFill>
            <w14:solidFill>
              <w14:schemeClr w14:val="tx1"/>
            </w14:solidFill>
          </w14:textFill>
        </w:rPr>
        <w:t>：</w:t>
      </w:r>
      <w:r>
        <w:rPr>
          <w:rFonts w:hint="eastAsia" w:ascii="宋体" w:hAnsi="宋体"/>
          <w:color w:val="000000" w:themeColor="text1"/>
          <w:u w:val="single"/>
          <w14:textFill>
            <w14:solidFill>
              <w14:schemeClr w14:val="tx1"/>
            </w14:solidFill>
          </w14:textFill>
        </w:rPr>
        <w:t xml:space="preserve">                 </w:t>
      </w: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日    期：XXX年XXX月XXX日</w:t>
      </w:r>
    </w:p>
    <w:p>
      <w:pPr>
        <w:adjustRightInd w:val="0"/>
        <w:snapToGrid w:val="0"/>
        <w:ind w:firstLine="482"/>
        <w:rPr>
          <w:rFonts w:ascii="宋体" w:hAnsi="宋体" w:cs="Adobe ?? Std R"/>
          <w:b/>
          <w:color w:val="000000" w:themeColor="text1"/>
          <w:spacing w:val="2"/>
          <w:kern w:val="0"/>
          <w:szCs w:val="20"/>
          <w14:textFill>
            <w14:solidFill>
              <w14:schemeClr w14:val="tx1"/>
            </w14:solidFill>
          </w14:textFill>
        </w:rPr>
      </w:pPr>
      <w:r>
        <w:rPr>
          <w:rFonts w:hint="eastAsia" w:ascii="宋体" w:hAnsi="宋体" w:cs="Adobe ?? Std R"/>
          <w:b/>
          <w:bCs/>
          <w:color w:val="000000" w:themeColor="text1"/>
          <w:kern w:val="0"/>
          <w14:textFill>
            <w14:solidFill>
              <w14:schemeClr w14:val="tx1"/>
            </w14:solidFill>
          </w14:textFill>
        </w:rPr>
        <w:t>注</w:t>
      </w:r>
      <w:r>
        <w:rPr>
          <w:rFonts w:hint="eastAsia" w:ascii="宋体" w:hAnsi="宋体" w:cs="Adobe ?? Std R"/>
          <w:b/>
          <w:bCs/>
          <w:color w:val="000000" w:themeColor="text1"/>
          <w:spacing w:val="2"/>
          <w:kern w:val="0"/>
          <w14:textFill>
            <w14:solidFill>
              <w14:schemeClr w14:val="tx1"/>
            </w14:solidFill>
          </w14:textFill>
        </w:rPr>
        <w:t>：</w:t>
      </w:r>
      <w:r>
        <w:rPr>
          <w:rFonts w:hint="eastAsia" w:ascii="宋体" w:hAnsi="宋体" w:cs="Adobe ?? Std R"/>
          <w:b/>
          <w:color w:val="000000" w:themeColor="text1"/>
          <w:spacing w:val="2"/>
          <w:kern w:val="0"/>
          <w:szCs w:val="20"/>
          <w14:textFill>
            <w14:solidFill>
              <w14:schemeClr w14:val="tx1"/>
            </w14:solidFill>
          </w14:textFill>
        </w:rPr>
        <w:t>1、上述证明文件附有法定代表人身份证复印件和代理人身份证复印件（身份证两面均应复印）时才能生效，不允许粘贴。</w:t>
      </w:r>
    </w:p>
    <w:p>
      <w:pPr>
        <w:adjustRightInd w:val="0"/>
        <w:snapToGrid w:val="0"/>
        <w:ind w:firstLine="980" w:firstLineChars="400"/>
        <w:rPr>
          <w:rFonts w:ascii="宋体" w:cs="Adobe ?? Std R"/>
          <w:b/>
          <w:bCs/>
          <w:color w:val="000000" w:themeColor="text1"/>
          <w:kern w:val="0"/>
          <w14:textFill>
            <w14:solidFill>
              <w14:schemeClr w14:val="tx1"/>
            </w14:solidFill>
          </w14:textFill>
        </w:rPr>
      </w:pPr>
      <w:r>
        <w:rPr>
          <w:rFonts w:hint="eastAsia" w:ascii="宋体" w:hAnsi="宋体" w:cs="Adobe ?? Std R"/>
          <w:b/>
          <w:color w:val="000000" w:themeColor="text1"/>
          <w:spacing w:val="2"/>
          <w:kern w:val="0"/>
          <w:szCs w:val="20"/>
          <w14:textFill>
            <w14:solidFill>
              <w14:schemeClr w14:val="tx1"/>
            </w14:solidFill>
          </w14:textFill>
        </w:rPr>
        <w:t>2、响应文件均由投标人法定代表人签字或加盖印章的，可不提供法定代表人授权委托书及代理人身份证复印件，但必须提供法定代表人身份证复印件。</w:t>
      </w:r>
    </w:p>
    <w:p>
      <w:pPr>
        <w:spacing w:line="400" w:lineRule="exact"/>
        <w:ind w:firstLine="640"/>
        <w:rPr>
          <w:color w:val="000000" w:themeColor="text1"/>
          <w:sz w:val="32"/>
          <w14:textFill>
            <w14:solidFill>
              <w14:schemeClr w14:val="tx1"/>
            </w14:solidFill>
          </w14:textFill>
        </w:rPr>
      </w:pPr>
    </w:p>
    <w:p>
      <w:pPr>
        <w:pStyle w:val="10"/>
        <w:ind w:firstLine="420"/>
        <w:rPr>
          <w:color w:val="000000" w:themeColor="text1"/>
          <w14:textFill>
            <w14:solidFill>
              <w14:schemeClr w14:val="tx1"/>
            </w14:solidFill>
          </w14:textFill>
        </w:rPr>
      </w:pPr>
    </w:p>
    <w:p>
      <w:pPr>
        <w:spacing w:line="400" w:lineRule="exact"/>
        <w:ind w:firstLine="640"/>
        <w:rPr>
          <w:color w:val="000000" w:themeColor="text1"/>
          <w:sz w:val="32"/>
          <w14:textFill>
            <w14:solidFill>
              <w14:schemeClr w14:val="tx1"/>
            </w14:solidFill>
          </w14:textFill>
        </w:rPr>
      </w:pPr>
    </w:p>
    <w:p>
      <w:pPr>
        <w:spacing w:line="400" w:lineRule="exact"/>
        <w:ind w:firstLine="640"/>
        <w:rPr>
          <w:color w:val="000000" w:themeColor="text1"/>
          <w:sz w:val="32"/>
          <w14:textFill>
            <w14:solidFill>
              <w14:schemeClr w14:val="tx1"/>
            </w14:solidFill>
          </w14:textFill>
        </w:rPr>
      </w:pPr>
    </w:p>
    <w:p>
      <w:pPr>
        <w:ind w:firstLine="643"/>
        <w:jc w:val="center"/>
        <w:rPr>
          <w:b/>
          <w:color w:val="000000" w:themeColor="text1"/>
          <w:sz w:val="32"/>
          <w:szCs w:val="32"/>
          <w14:textFill>
            <w14:solidFill>
              <w14:schemeClr w14:val="tx1"/>
            </w14:solidFill>
          </w14:textFill>
        </w:rPr>
      </w:pPr>
    </w:p>
    <w:p>
      <w:pPr>
        <w:ind w:firstLine="643"/>
        <w:jc w:val="center"/>
        <w:rPr>
          <w:b/>
          <w:color w:val="000000" w:themeColor="text1"/>
          <w:sz w:val="32"/>
          <w:szCs w:val="32"/>
          <w14:textFill>
            <w14:solidFill>
              <w14:schemeClr w14:val="tx1"/>
            </w14:solidFill>
          </w14:textFill>
        </w:rPr>
      </w:pPr>
    </w:p>
    <w:p>
      <w:pPr>
        <w:ind w:firstLine="643"/>
        <w:jc w:val="center"/>
        <w:rPr>
          <w:b/>
          <w:color w:val="000000" w:themeColor="text1"/>
          <w:sz w:val="32"/>
          <w:szCs w:val="32"/>
          <w14:textFill>
            <w14:solidFill>
              <w14:schemeClr w14:val="tx1"/>
            </w14:solidFill>
          </w14:textFill>
        </w:rPr>
      </w:pPr>
    </w:p>
    <w:p>
      <w:pPr>
        <w:pStyle w:val="3"/>
        <w:ind w:firstLine="562"/>
        <w:rPr>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r>
        <w:rPr>
          <w:rFonts w:hint="eastAsia"/>
          <w:color w:val="000000" w:themeColor="text1"/>
          <w14:textFill>
            <w14:solidFill>
              <w14:schemeClr w14:val="tx1"/>
            </w14:solidFill>
          </w14:textFill>
        </w:rPr>
        <w:t>三、投标人基本情况表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5"/>
        <w:gridCol w:w="1391"/>
        <w:gridCol w:w="10"/>
        <w:gridCol w:w="144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865" w:type="dxa"/>
            <w:vAlign w:val="center"/>
          </w:tcPr>
          <w:p>
            <w:pPr>
              <w:ind w:firstLine="0" w:firstLineChars="0"/>
              <w:jc w:val="center"/>
              <w:rPr>
                <w:rFonts w:ascii="宋体" w:hAnsi="宋体" w:cs="Arial"/>
                <w:bCs/>
                <w:color w:val="000000" w:themeColor="text1"/>
                <w14:textFill>
                  <w14:solidFill>
                    <w14:schemeClr w14:val="tx1"/>
                  </w14:solidFill>
                </w14:textFill>
              </w:rPr>
            </w:pPr>
            <w:r>
              <w:rPr>
                <w:rFonts w:hint="eastAsia" w:ascii="宋体" w:hAnsi="宋体" w:cs="Arial"/>
                <w:bCs/>
                <w:color w:val="000000" w:themeColor="text1"/>
                <w14:textFill>
                  <w14:solidFill>
                    <w14:schemeClr w14:val="tx1"/>
                  </w14:solidFill>
                </w14:textFill>
              </w:rPr>
              <w:t>投标人名称</w:t>
            </w:r>
          </w:p>
        </w:tc>
        <w:tc>
          <w:tcPr>
            <w:tcW w:w="7881" w:type="dxa"/>
            <w:gridSpan w:val="11"/>
            <w:vAlign w:val="center"/>
          </w:tcPr>
          <w:p>
            <w:pPr>
              <w:ind w:firstLine="0" w:firstLineChars="0"/>
              <w:jc w:val="center"/>
              <w:rPr>
                <w:rFonts w:ascii="宋体" w:hAnsi="宋体" w:cs="Arial"/>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865" w:type="dxa"/>
            <w:vAlign w:val="center"/>
          </w:tcPr>
          <w:p>
            <w:pPr>
              <w:ind w:firstLine="0" w:firstLineChars="0"/>
              <w:jc w:val="center"/>
              <w:rPr>
                <w:rFonts w:ascii="宋体" w:hAnsi="宋体" w:cs="Arial"/>
                <w:bCs/>
                <w:color w:val="000000" w:themeColor="text1"/>
                <w14:textFill>
                  <w14:solidFill>
                    <w14:schemeClr w14:val="tx1"/>
                  </w14:solidFill>
                </w14:textFill>
              </w:rPr>
            </w:pPr>
            <w:r>
              <w:rPr>
                <w:rFonts w:hint="eastAsia" w:ascii="宋体" w:hAnsi="宋体" w:cs="Arial"/>
                <w:bCs/>
                <w:color w:val="000000" w:themeColor="text1"/>
                <w14:textFill>
                  <w14:solidFill>
                    <w14:schemeClr w14:val="tx1"/>
                  </w14:solidFill>
                </w14:textFill>
              </w:rPr>
              <w:t>注册地址</w:t>
            </w:r>
          </w:p>
        </w:tc>
        <w:tc>
          <w:tcPr>
            <w:tcW w:w="5001" w:type="dxa"/>
            <w:gridSpan w:val="6"/>
            <w:vAlign w:val="center"/>
          </w:tcPr>
          <w:p>
            <w:pPr>
              <w:ind w:firstLine="0" w:firstLineChars="0"/>
              <w:jc w:val="center"/>
              <w:rPr>
                <w:rFonts w:ascii="宋体" w:hAnsi="宋体" w:cs="Arial"/>
                <w:bCs/>
                <w:color w:val="000000" w:themeColor="text1"/>
                <w14:textFill>
                  <w14:solidFill>
                    <w14:schemeClr w14:val="tx1"/>
                  </w14:solidFill>
                </w14:textFill>
              </w:rPr>
            </w:pPr>
          </w:p>
        </w:tc>
        <w:tc>
          <w:tcPr>
            <w:tcW w:w="1260" w:type="dxa"/>
            <w:gridSpan w:val="3"/>
            <w:vAlign w:val="center"/>
          </w:tcPr>
          <w:p>
            <w:pPr>
              <w:ind w:firstLine="0" w:firstLineChars="0"/>
              <w:jc w:val="center"/>
              <w:rPr>
                <w:rFonts w:ascii="宋体" w:hAnsi="宋体" w:cs="Arial"/>
                <w:bCs/>
                <w:color w:val="000000" w:themeColor="text1"/>
                <w14:textFill>
                  <w14:solidFill>
                    <w14:schemeClr w14:val="tx1"/>
                  </w14:solidFill>
                </w14:textFill>
              </w:rPr>
            </w:pPr>
            <w:r>
              <w:rPr>
                <w:rFonts w:hint="eastAsia" w:ascii="宋体" w:hAnsi="宋体" w:cs="Arial"/>
                <w:bCs/>
                <w:color w:val="000000" w:themeColor="text1"/>
                <w14:textFill>
                  <w14:solidFill>
                    <w14:schemeClr w14:val="tx1"/>
                  </w14:solidFill>
                </w14:textFill>
              </w:rPr>
              <w:t>邮政编码</w:t>
            </w:r>
          </w:p>
        </w:tc>
        <w:tc>
          <w:tcPr>
            <w:tcW w:w="1620" w:type="dxa"/>
            <w:gridSpan w:val="2"/>
            <w:vAlign w:val="center"/>
          </w:tcPr>
          <w:p>
            <w:pPr>
              <w:ind w:firstLine="480"/>
              <w:jc w:val="center"/>
              <w:rPr>
                <w:rFonts w:ascii="宋体" w:hAnsi="宋体" w:cs="Arial"/>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865" w:type="dxa"/>
            <w:vMerge w:val="restart"/>
            <w:vAlign w:val="center"/>
          </w:tcPr>
          <w:p>
            <w:pPr>
              <w:ind w:firstLine="0" w:firstLineChars="0"/>
              <w:jc w:val="center"/>
              <w:rPr>
                <w:rFonts w:ascii="宋体" w:hAnsi="宋体" w:cs="Arial"/>
                <w:bCs/>
                <w:color w:val="000000" w:themeColor="text1"/>
                <w14:textFill>
                  <w14:solidFill>
                    <w14:schemeClr w14:val="tx1"/>
                  </w14:solidFill>
                </w14:textFill>
              </w:rPr>
            </w:pPr>
            <w:r>
              <w:rPr>
                <w:rFonts w:hint="eastAsia" w:ascii="宋体" w:hAnsi="宋体" w:cs="Arial"/>
                <w:bCs/>
                <w:color w:val="000000" w:themeColor="text1"/>
                <w14:textFill>
                  <w14:solidFill>
                    <w14:schemeClr w14:val="tx1"/>
                  </w14:solidFill>
                </w14:textFill>
              </w:rPr>
              <w:t>联系方式</w:t>
            </w:r>
          </w:p>
        </w:tc>
        <w:tc>
          <w:tcPr>
            <w:tcW w:w="1401" w:type="dxa"/>
            <w:gridSpan w:val="2"/>
            <w:vAlign w:val="center"/>
          </w:tcPr>
          <w:p>
            <w:pPr>
              <w:ind w:firstLine="0" w:firstLineChars="0"/>
              <w:jc w:val="center"/>
              <w:rPr>
                <w:rFonts w:ascii="宋体" w:hAnsi="宋体" w:cs="Arial"/>
                <w:bCs/>
                <w:color w:val="000000" w:themeColor="text1"/>
                <w14:textFill>
                  <w14:solidFill>
                    <w14:schemeClr w14:val="tx1"/>
                  </w14:solidFill>
                </w14:textFill>
              </w:rPr>
            </w:pPr>
            <w:r>
              <w:rPr>
                <w:rFonts w:hint="eastAsia" w:ascii="宋体" w:hAnsi="宋体" w:cs="Arial"/>
                <w:bCs/>
                <w:color w:val="000000" w:themeColor="text1"/>
                <w14:textFill>
                  <w14:solidFill>
                    <w14:schemeClr w14:val="tx1"/>
                  </w14:solidFill>
                </w14:textFill>
              </w:rPr>
              <w:t>联系人</w:t>
            </w:r>
          </w:p>
        </w:tc>
        <w:tc>
          <w:tcPr>
            <w:tcW w:w="3600" w:type="dxa"/>
            <w:gridSpan w:val="4"/>
            <w:vAlign w:val="center"/>
          </w:tcPr>
          <w:p>
            <w:pPr>
              <w:ind w:firstLine="0" w:firstLineChars="0"/>
              <w:jc w:val="center"/>
              <w:rPr>
                <w:rFonts w:ascii="宋体" w:hAnsi="宋体" w:cs="Arial"/>
                <w:bCs/>
                <w:color w:val="000000" w:themeColor="text1"/>
                <w14:textFill>
                  <w14:solidFill>
                    <w14:schemeClr w14:val="tx1"/>
                  </w14:solidFill>
                </w14:textFill>
              </w:rPr>
            </w:pPr>
          </w:p>
        </w:tc>
        <w:tc>
          <w:tcPr>
            <w:tcW w:w="1260" w:type="dxa"/>
            <w:gridSpan w:val="3"/>
            <w:vAlign w:val="center"/>
          </w:tcPr>
          <w:p>
            <w:pPr>
              <w:ind w:firstLine="0" w:firstLineChars="0"/>
              <w:jc w:val="center"/>
              <w:rPr>
                <w:rFonts w:ascii="宋体" w:hAnsi="宋体" w:cs="Arial"/>
                <w:bCs/>
                <w:color w:val="000000" w:themeColor="text1"/>
                <w14:textFill>
                  <w14:solidFill>
                    <w14:schemeClr w14:val="tx1"/>
                  </w14:solidFill>
                </w14:textFill>
              </w:rPr>
            </w:pPr>
            <w:r>
              <w:rPr>
                <w:rFonts w:hint="eastAsia" w:ascii="宋体" w:hAnsi="宋体" w:cs="Arial"/>
                <w:bCs/>
                <w:color w:val="000000" w:themeColor="text1"/>
                <w14:textFill>
                  <w14:solidFill>
                    <w14:schemeClr w14:val="tx1"/>
                  </w14:solidFill>
                </w14:textFill>
              </w:rPr>
              <w:t>联系电话</w:t>
            </w:r>
          </w:p>
        </w:tc>
        <w:tc>
          <w:tcPr>
            <w:tcW w:w="1620" w:type="dxa"/>
            <w:gridSpan w:val="2"/>
            <w:vAlign w:val="center"/>
          </w:tcPr>
          <w:p>
            <w:pPr>
              <w:ind w:firstLine="480"/>
              <w:jc w:val="center"/>
              <w:rPr>
                <w:rFonts w:ascii="宋体" w:hAnsi="宋体" w:cs="Arial"/>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865" w:type="dxa"/>
            <w:vMerge w:val="continue"/>
            <w:vAlign w:val="center"/>
          </w:tcPr>
          <w:p>
            <w:pPr>
              <w:ind w:firstLine="0" w:firstLineChars="0"/>
              <w:jc w:val="center"/>
              <w:rPr>
                <w:rFonts w:ascii="宋体" w:hAnsi="宋体" w:cs="Arial"/>
                <w:bCs/>
                <w:color w:val="000000" w:themeColor="text1"/>
                <w14:textFill>
                  <w14:solidFill>
                    <w14:schemeClr w14:val="tx1"/>
                  </w14:solidFill>
                </w14:textFill>
              </w:rPr>
            </w:pPr>
          </w:p>
        </w:tc>
        <w:tc>
          <w:tcPr>
            <w:tcW w:w="1401" w:type="dxa"/>
            <w:gridSpan w:val="2"/>
            <w:vAlign w:val="center"/>
          </w:tcPr>
          <w:p>
            <w:pPr>
              <w:ind w:firstLine="0" w:firstLineChars="0"/>
              <w:jc w:val="center"/>
              <w:rPr>
                <w:rFonts w:ascii="宋体" w:hAnsi="宋体" w:cs="Arial"/>
                <w:bCs/>
                <w:color w:val="000000" w:themeColor="text1"/>
                <w14:textFill>
                  <w14:solidFill>
                    <w14:schemeClr w14:val="tx1"/>
                  </w14:solidFill>
                </w14:textFill>
              </w:rPr>
            </w:pPr>
            <w:r>
              <w:rPr>
                <w:rFonts w:hint="eastAsia" w:ascii="宋体" w:hAnsi="宋体" w:cs="Arial"/>
                <w:bCs/>
                <w:color w:val="000000" w:themeColor="text1"/>
                <w14:textFill>
                  <w14:solidFill>
                    <w14:schemeClr w14:val="tx1"/>
                  </w14:solidFill>
                </w14:textFill>
              </w:rPr>
              <w:t>传真</w:t>
            </w:r>
          </w:p>
        </w:tc>
        <w:tc>
          <w:tcPr>
            <w:tcW w:w="3600" w:type="dxa"/>
            <w:gridSpan w:val="4"/>
            <w:vAlign w:val="center"/>
          </w:tcPr>
          <w:p>
            <w:pPr>
              <w:ind w:firstLine="0" w:firstLineChars="0"/>
              <w:jc w:val="center"/>
              <w:rPr>
                <w:rFonts w:ascii="宋体" w:hAnsi="宋体" w:cs="Arial"/>
                <w:bCs/>
                <w:color w:val="000000" w:themeColor="text1"/>
                <w14:textFill>
                  <w14:solidFill>
                    <w14:schemeClr w14:val="tx1"/>
                  </w14:solidFill>
                </w14:textFill>
              </w:rPr>
            </w:pPr>
          </w:p>
        </w:tc>
        <w:tc>
          <w:tcPr>
            <w:tcW w:w="1260" w:type="dxa"/>
            <w:gridSpan w:val="3"/>
            <w:vAlign w:val="center"/>
          </w:tcPr>
          <w:p>
            <w:pPr>
              <w:ind w:firstLine="0" w:firstLineChars="0"/>
              <w:jc w:val="center"/>
              <w:rPr>
                <w:rFonts w:ascii="宋体" w:hAnsi="宋体" w:cs="Arial"/>
                <w:bCs/>
                <w:color w:val="000000" w:themeColor="text1"/>
                <w14:textFill>
                  <w14:solidFill>
                    <w14:schemeClr w14:val="tx1"/>
                  </w14:solidFill>
                </w14:textFill>
              </w:rPr>
            </w:pPr>
            <w:r>
              <w:rPr>
                <w:rFonts w:hint="eastAsia" w:ascii="宋体" w:hAnsi="宋体" w:cs="Arial"/>
                <w:bCs/>
                <w:color w:val="000000" w:themeColor="text1"/>
                <w14:textFill>
                  <w14:solidFill>
                    <w14:schemeClr w14:val="tx1"/>
                  </w14:solidFill>
                </w14:textFill>
              </w:rPr>
              <w:t>网址</w:t>
            </w:r>
          </w:p>
        </w:tc>
        <w:tc>
          <w:tcPr>
            <w:tcW w:w="1620" w:type="dxa"/>
            <w:gridSpan w:val="2"/>
            <w:vAlign w:val="center"/>
          </w:tcPr>
          <w:p>
            <w:pPr>
              <w:ind w:firstLine="480"/>
              <w:jc w:val="center"/>
              <w:rPr>
                <w:rFonts w:ascii="宋体" w:hAnsi="宋体" w:cs="Arial"/>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865" w:type="dxa"/>
            <w:vAlign w:val="center"/>
          </w:tcPr>
          <w:p>
            <w:pPr>
              <w:ind w:firstLine="0" w:firstLineChars="0"/>
              <w:jc w:val="center"/>
              <w:rPr>
                <w:rFonts w:ascii="宋体" w:hAnsi="宋体" w:cs="Arial"/>
                <w:bCs/>
                <w:color w:val="000000" w:themeColor="text1"/>
                <w14:textFill>
                  <w14:solidFill>
                    <w14:schemeClr w14:val="tx1"/>
                  </w14:solidFill>
                </w14:textFill>
              </w:rPr>
            </w:pPr>
            <w:r>
              <w:rPr>
                <w:rFonts w:hint="eastAsia" w:ascii="宋体" w:hAnsi="宋体" w:cs="Arial"/>
                <w:bCs/>
                <w:color w:val="000000" w:themeColor="text1"/>
                <w14:textFill>
                  <w14:solidFill>
                    <w14:schemeClr w14:val="tx1"/>
                  </w14:solidFill>
                </w14:textFill>
              </w:rPr>
              <w:t>组织结构</w:t>
            </w:r>
          </w:p>
        </w:tc>
        <w:tc>
          <w:tcPr>
            <w:tcW w:w="7881" w:type="dxa"/>
            <w:gridSpan w:val="11"/>
            <w:vAlign w:val="center"/>
          </w:tcPr>
          <w:p>
            <w:pPr>
              <w:ind w:firstLine="0" w:firstLineChars="0"/>
              <w:jc w:val="center"/>
              <w:rPr>
                <w:rFonts w:ascii="宋体" w:hAnsi="宋体" w:cs="Arial"/>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865" w:type="dxa"/>
            <w:vAlign w:val="center"/>
          </w:tcPr>
          <w:p>
            <w:pPr>
              <w:ind w:firstLine="0" w:firstLineChars="0"/>
              <w:jc w:val="center"/>
              <w:rPr>
                <w:rFonts w:ascii="宋体" w:hAnsi="宋体" w:cs="Arial"/>
                <w:bCs/>
                <w:color w:val="000000" w:themeColor="text1"/>
                <w14:textFill>
                  <w14:solidFill>
                    <w14:schemeClr w14:val="tx1"/>
                  </w14:solidFill>
                </w14:textFill>
              </w:rPr>
            </w:pPr>
            <w:r>
              <w:rPr>
                <w:rFonts w:hint="eastAsia" w:ascii="宋体" w:hAnsi="宋体" w:cs="Arial"/>
                <w:bCs/>
                <w:color w:val="000000" w:themeColor="text1"/>
                <w14:textFill>
                  <w14:solidFill>
                    <w14:schemeClr w14:val="tx1"/>
                  </w14:solidFill>
                </w14:textFill>
              </w:rPr>
              <w:t>法定代表人</w:t>
            </w:r>
          </w:p>
        </w:tc>
        <w:tc>
          <w:tcPr>
            <w:tcW w:w="1391" w:type="dxa"/>
            <w:vAlign w:val="center"/>
          </w:tcPr>
          <w:p>
            <w:pPr>
              <w:ind w:firstLine="0" w:firstLineChars="0"/>
              <w:jc w:val="center"/>
              <w:rPr>
                <w:rFonts w:ascii="宋体" w:hAnsi="宋体" w:cs="Arial"/>
                <w:bCs/>
                <w:color w:val="000000" w:themeColor="text1"/>
                <w14:textFill>
                  <w14:solidFill>
                    <w14:schemeClr w14:val="tx1"/>
                  </w14:solidFill>
                </w14:textFill>
              </w:rPr>
            </w:pPr>
            <w:r>
              <w:rPr>
                <w:rFonts w:hint="eastAsia" w:ascii="宋体" w:hAnsi="宋体" w:cs="Arial"/>
                <w:bCs/>
                <w:color w:val="000000" w:themeColor="text1"/>
                <w14:textFill>
                  <w14:solidFill>
                    <w14:schemeClr w14:val="tx1"/>
                  </w14:solidFill>
                </w14:textFill>
              </w:rPr>
              <w:t>姓名</w:t>
            </w:r>
          </w:p>
        </w:tc>
        <w:tc>
          <w:tcPr>
            <w:tcW w:w="1450" w:type="dxa"/>
            <w:gridSpan w:val="2"/>
            <w:vAlign w:val="center"/>
          </w:tcPr>
          <w:p>
            <w:pPr>
              <w:ind w:firstLine="0" w:firstLineChars="0"/>
              <w:jc w:val="center"/>
              <w:rPr>
                <w:rFonts w:ascii="宋体" w:hAnsi="宋体" w:cs="Arial"/>
                <w:bCs/>
                <w:color w:val="000000" w:themeColor="text1"/>
                <w14:textFill>
                  <w14:solidFill>
                    <w14:schemeClr w14:val="tx1"/>
                  </w14:solidFill>
                </w14:textFill>
              </w:rPr>
            </w:pPr>
          </w:p>
        </w:tc>
        <w:tc>
          <w:tcPr>
            <w:tcW w:w="1260" w:type="dxa"/>
            <w:vAlign w:val="center"/>
          </w:tcPr>
          <w:p>
            <w:pPr>
              <w:ind w:firstLine="0" w:firstLineChars="0"/>
              <w:jc w:val="center"/>
              <w:rPr>
                <w:rFonts w:ascii="宋体" w:hAnsi="宋体" w:cs="Arial"/>
                <w:bCs/>
                <w:color w:val="000000" w:themeColor="text1"/>
                <w14:textFill>
                  <w14:solidFill>
                    <w14:schemeClr w14:val="tx1"/>
                  </w14:solidFill>
                </w14:textFill>
              </w:rPr>
            </w:pPr>
            <w:r>
              <w:rPr>
                <w:rFonts w:hint="eastAsia" w:ascii="宋体" w:hAnsi="宋体" w:cs="Arial"/>
                <w:bCs/>
                <w:color w:val="000000" w:themeColor="text1"/>
                <w14:textFill>
                  <w14:solidFill>
                    <w14:schemeClr w14:val="tx1"/>
                  </w14:solidFill>
                </w14:textFill>
              </w:rPr>
              <w:t>技术职称</w:t>
            </w:r>
          </w:p>
        </w:tc>
        <w:tc>
          <w:tcPr>
            <w:tcW w:w="1260" w:type="dxa"/>
            <w:gridSpan w:val="3"/>
            <w:vAlign w:val="center"/>
          </w:tcPr>
          <w:p>
            <w:pPr>
              <w:ind w:firstLine="0" w:firstLineChars="0"/>
              <w:jc w:val="center"/>
              <w:rPr>
                <w:rFonts w:ascii="宋体" w:hAnsi="宋体" w:cs="Arial"/>
                <w:bCs/>
                <w:color w:val="000000" w:themeColor="text1"/>
                <w14:textFill>
                  <w14:solidFill>
                    <w14:schemeClr w14:val="tx1"/>
                  </w14:solidFill>
                </w14:textFill>
              </w:rPr>
            </w:pPr>
          </w:p>
        </w:tc>
        <w:tc>
          <w:tcPr>
            <w:tcW w:w="1260" w:type="dxa"/>
            <w:gridSpan w:val="3"/>
            <w:vAlign w:val="center"/>
          </w:tcPr>
          <w:p>
            <w:pPr>
              <w:ind w:firstLine="0" w:firstLineChars="0"/>
              <w:jc w:val="center"/>
              <w:rPr>
                <w:rFonts w:ascii="宋体" w:hAnsi="宋体" w:cs="Arial"/>
                <w:bCs/>
                <w:color w:val="000000" w:themeColor="text1"/>
                <w14:textFill>
                  <w14:solidFill>
                    <w14:schemeClr w14:val="tx1"/>
                  </w14:solidFill>
                </w14:textFill>
              </w:rPr>
            </w:pPr>
            <w:r>
              <w:rPr>
                <w:rFonts w:hint="eastAsia" w:ascii="宋体" w:hAnsi="宋体" w:cs="Arial"/>
                <w:bCs/>
                <w:color w:val="000000" w:themeColor="text1"/>
                <w14:textFill>
                  <w14:solidFill>
                    <w14:schemeClr w14:val="tx1"/>
                  </w14:solidFill>
                </w14:textFill>
              </w:rPr>
              <w:t>联系电话</w:t>
            </w:r>
          </w:p>
        </w:tc>
        <w:tc>
          <w:tcPr>
            <w:tcW w:w="1260" w:type="dxa"/>
            <w:vAlign w:val="center"/>
          </w:tcPr>
          <w:p>
            <w:pPr>
              <w:ind w:firstLine="480"/>
              <w:jc w:val="center"/>
              <w:rPr>
                <w:rFonts w:ascii="宋体" w:hAnsi="宋体" w:cs="Arial"/>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865" w:type="dxa"/>
            <w:vAlign w:val="center"/>
          </w:tcPr>
          <w:p>
            <w:pPr>
              <w:ind w:firstLine="0" w:firstLineChars="0"/>
              <w:jc w:val="center"/>
              <w:rPr>
                <w:rFonts w:ascii="宋体" w:hAnsi="宋体" w:cs="Arial"/>
                <w:bCs/>
                <w:color w:val="000000" w:themeColor="text1"/>
                <w14:textFill>
                  <w14:solidFill>
                    <w14:schemeClr w14:val="tx1"/>
                  </w14:solidFill>
                </w14:textFill>
              </w:rPr>
            </w:pPr>
            <w:r>
              <w:rPr>
                <w:rFonts w:hint="eastAsia" w:ascii="宋体" w:hAnsi="宋体" w:cs="Arial"/>
                <w:bCs/>
                <w:color w:val="000000" w:themeColor="text1"/>
                <w14:textFill>
                  <w14:solidFill>
                    <w14:schemeClr w14:val="tx1"/>
                  </w14:solidFill>
                </w14:textFill>
              </w:rPr>
              <w:t>技术负责人</w:t>
            </w:r>
          </w:p>
        </w:tc>
        <w:tc>
          <w:tcPr>
            <w:tcW w:w="1391" w:type="dxa"/>
            <w:vAlign w:val="center"/>
          </w:tcPr>
          <w:p>
            <w:pPr>
              <w:ind w:firstLine="0" w:firstLineChars="0"/>
              <w:jc w:val="center"/>
              <w:rPr>
                <w:rFonts w:ascii="宋体" w:hAnsi="宋体" w:cs="Arial"/>
                <w:bCs/>
                <w:color w:val="000000" w:themeColor="text1"/>
                <w14:textFill>
                  <w14:solidFill>
                    <w14:schemeClr w14:val="tx1"/>
                  </w14:solidFill>
                </w14:textFill>
              </w:rPr>
            </w:pPr>
            <w:r>
              <w:rPr>
                <w:rFonts w:hint="eastAsia" w:ascii="宋体" w:hAnsi="宋体" w:cs="Arial"/>
                <w:bCs/>
                <w:color w:val="000000" w:themeColor="text1"/>
                <w14:textFill>
                  <w14:solidFill>
                    <w14:schemeClr w14:val="tx1"/>
                  </w14:solidFill>
                </w14:textFill>
              </w:rPr>
              <w:t>姓名</w:t>
            </w:r>
          </w:p>
        </w:tc>
        <w:tc>
          <w:tcPr>
            <w:tcW w:w="1450" w:type="dxa"/>
            <w:gridSpan w:val="2"/>
            <w:vAlign w:val="center"/>
          </w:tcPr>
          <w:p>
            <w:pPr>
              <w:ind w:firstLine="0" w:firstLineChars="0"/>
              <w:jc w:val="center"/>
              <w:rPr>
                <w:rFonts w:ascii="宋体" w:hAnsi="宋体" w:cs="Arial"/>
                <w:bCs/>
                <w:color w:val="000000" w:themeColor="text1"/>
                <w14:textFill>
                  <w14:solidFill>
                    <w14:schemeClr w14:val="tx1"/>
                  </w14:solidFill>
                </w14:textFill>
              </w:rPr>
            </w:pPr>
          </w:p>
        </w:tc>
        <w:tc>
          <w:tcPr>
            <w:tcW w:w="1260" w:type="dxa"/>
            <w:vAlign w:val="center"/>
          </w:tcPr>
          <w:p>
            <w:pPr>
              <w:ind w:firstLine="0" w:firstLineChars="0"/>
              <w:jc w:val="center"/>
              <w:rPr>
                <w:rFonts w:ascii="宋体" w:hAnsi="宋体" w:cs="Arial"/>
                <w:bCs/>
                <w:color w:val="000000" w:themeColor="text1"/>
                <w14:textFill>
                  <w14:solidFill>
                    <w14:schemeClr w14:val="tx1"/>
                  </w14:solidFill>
                </w14:textFill>
              </w:rPr>
            </w:pPr>
            <w:r>
              <w:rPr>
                <w:rFonts w:hint="eastAsia" w:ascii="宋体" w:hAnsi="宋体" w:cs="Arial"/>
                <w:bCs/>
                <w:color w:val="000000" w:themeColor="text1"/>
                <w14:textFill>
                  <w14:solidFill>
                    <w14:schemeClr w14:val="tx1"/>
                  </w14:solidFill>
                </w14:textFill>
              </w:rPr>
              <w:t>技术职称</w:t>
            </w:r>
          </w:p>
        </w:tc>
        <w:tc>
          <w:tcPr>
            <w:tcW w:w="1260" w:type="dxa"/>
            <w:gridSpan w:val="3"/>
            <w:vAlign w:val="center"/>
          </w:tcPr>
          <w:p>
            <w:pPr>
              <w:ind w:firstLine="0" w:firstLineChars="0"/>
              <w:jc w:val="center"/>
              <w:rPr>
                <w:rFonts w:ascii="宋体" w:hAnsi="宋体" w:cs="Arial"/>
                <w:bCs/>
                <w:color w:val="000000" w:themeColor="text1"/>
                <w14:textFill>
                  <w14:solidFill>
                    <w14:schemeClr w14:val="tx1"/>
                  </w14:solidFill>
                </w14:textFill>
              </w:rPr>
            </w:pPr>
          </w:p>
        </w:tc>
        <w:tc>
          <w:tcPr>
            <w:tcW w:w="1260" w:type="dxa"/>
            <w:gridSpan w:val="3"/>
            <w:vAlign w:val="center"/>
          </w:tcPr>
          <w:p>
            <w:pPr>
              <w:ind w:firstLine="0" w:firstLineChars="0"/>
              <w:jc w:val="center"/>
              <w:rPr>
                <w:rFonts w:ascii="宋体" w:hAnsi="宋体" w:cs="Arial"/>
                <w:bCs/>
                <w:color w:val="000000" w:themeColor="text1"/>
                <w14:textFill>
                  <w14:solidFill>
                    <w14:schemeClr w14:val="tx1"/>
                  </w14:solidFill>
                </w14:textFill>
              </w:rPr>
            </w:pPr>
            <w:r>
              <w:rPr>
                <w:rFonts w:hint="eastAsia" w:ascii="宋体" w:hAnsi="宋体" w:cs="Arial"/>
                <w:bCs/>
                <w:color w:val="000000" w:themeColor="text1"/>
                <w14:textFill>
                  <w14:solidFill>
                    <w14:schemeClr w14:val="tx1"/>
                  </w14:solidFill>
                </w14:textFill>
              </w:rPr>
              <w:t>联系电话</w:t>
            </w:r>
          </w:p>
        </w:tc>
        <w:tc>
          <w:tcPr>
            <w:tcW w:w="1260" w:type="dxa"/>
            <w:vAlign w:val="center"/>
          </w:tcPr>
          <w:p>
            <w:pPr>
              <w:ind w:firstLine="480"/>
              <w:jc w:val="center"/>
              <w:rPr>
                <w:rFonts w:ascii="宋体" w:hAnsi="宋体" w:cs="Arial"/>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865" w:type="dxa"/>
            <w:vAlign w:val="center"/>
          </w:tcPr>
          <w:p>
            <w:pPr>
              <w:ind w:firstLine="0" w:firstLineChars="0"/>
              <w:jc w:val="center"/>
              <w:rPr>
                <w:rFonts w:ascii="宋体" w:hAnsi="宋体" w:cs="Arial"/>
                <w:bCs/>
                <w:color w:val="000000" w:themeColor="text1"/>
                <w14:textFill>
                  <w14:solidFill>
                    <w14:schemeClr w14:val="tx1"/>
                  </w14:solidFill>
                </w14:textFill>
              </w:rPr>
            </w:pPr>
            <w:r>
              <w:rPr>
                <w:rFonts w:hint="eastAsia" w:ascii="宋体" w:hAnsi="宋体" w:cs="Arial"/>
                <w:bCs/>
                <w:color w:val="000000" w:themeColor="text1"/>
                <w14:textFill>
                  <w14:solidFill>
                    <w14:schemeClr w14:val="tx1"/>
                  </w14:solidFill>
                </w14:textFill>
              </w:rPr>
              <w:t>成立时间</w:t>
            </w:r>
          </w:p>
        </w:tc>
        <w:tc>
          <w:tcPr>
            <w:tcW w:w="2841" w:type="dxa"/>
            <w:gridSpan w:val="3"/>
            <w:vAlign w:val="center"/>
          </w:tcPr>
          <w:p>
            <w:pPr>
              <w:ind w:firstLine="0" w:firstLineChars="0"/>
              <w:jc w:val="center"/>
              <w:rPr>
                <w:rFonts w:ascii="宋体" w:hAnsi="宋体" w:cs="Arial"/>
                <w:bCs/>
                <w:color w:val="000000" w:themeColor="text1"/>
                <w14:textFill>
                  <w14:solidFill>
                    <w14:schemeClr w14:val="tx1"/>
                  </w14:solidFill>
                </w14:textFill>
              </w:rPr>
            </w:pPr>
          </w:p>
        </w:tc>
        <w:tc>
          <w:tcPr>
            <w:tcW w:w="5040" w:type="dxa"/>
            <w:gridSpan w:val="8"/>
            <w:vAlign w:val="center"/>
          </w:tcPr>
          <w:p>
            <w:pPr>
              <w:ind w:firstLine="0" w:firstLineChars="0"/>
              <w:jc w:val="center"/>
              <w:rPr>
                <w:rFonts w:ascii="宋体" w:hAnsi="宋体" w:cs="Arial"/>
                <w:bCs/>
                <w:color w:val="000000" w:themeColor="text1"/>
                <w14:textFill>
                  <w14:solidFill>
                    <w14:schemeClr w14:val="tx1"/>
                  </w14:solidFill>
                </w14:textFill>
              </w:rPr>
            </w:pPr>
            <w:r>
              <w:rPr>
                <w:rFonts w:hint="eastAsia" w:ascii="宋体" w:hAnsi="宋体" w:cs="Arial"/>
                <w:bCs/>
                <w:color w:val="000000" w:themeColor="text1"/>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865" w:type="dxa"/>
            <w:vAlign w:val="center"/>
          </w:tcPr>
          <w:p>
            <w:pPr>
              <w:ind w:firstLine="0" w:firstLineChars="0"/>
              <w:jc w:val="center"/>
              <w:rPr>
                <w:rFonts w:ascii="宋体" w:hAnsi="宋体" w:cs="Arial"/>
                <w:bCs/>
                <w:color w:val="000000" w:themeColor="text1"/>
                <w14:textFill>
                  <w14:solidFill>
                    <w14:schemeClr w14:val="tx1"/>
                  </w14:solidFill>
                </w14:textFill>
              </w:rPr>
            </w:pPr>
            <w:r>
              <w:rPr>
                <w:rFonts w:hint="eastAsia" w:ascii="宋体" w:hAnsi="宋体" w:cs="Arial"/>
                <w:bCs/>
                <w:color w:val="000000" w:themeColor="text1"/>
                <w14:textFill>
                  <w14:solidFill>
                    <w14:schemeClr w14:val="tx1"/>
                  </w14:solidFill>
                </w14:textFill>
              </w:rPr>
              <w:t>企业资质等级</w:t>
            </w:r>
          </w:p>
        </w:tc>
        <w:tc>
          <w:tcPr>
            <w:tcW w:w="2841" w:type="dxa"/>
            <w:gridSpan w:val="3"/>
            <w:vAlign w:val="center"/>
          </w:tcPr>
          <w:p>
            <w:pPr>
              <w:ind w:firstLine="0" w:firstLineChars="0"/>
              <w:jc w:val="center"/>
              <w:rPr>
                <w:rFonts w:ascii="宋体" w:hAnsi="宋体" w:cs="Arial"/>
                <w:bCs/>
                <w:color w:val="000000" w:themeColor="text1"/>
                <w14:textFill>
                  <w14:solidFill>
                    <w14:schemeClr w14:val="tx1"/>
                  </w14:solidFill>
                </w14:textFill>
              </w:rPr>
            </w:pPr>
          </w:p>
        </w:tc>
        <w:tc>
          <w:tcPr>
            <w:tcW w:w="1680" w:type="dxa"/>
            <w:gridSpan w:val="2"/>
            <w:vMerge w:val="restart"/>
            <w:vAlign w:val="center"/>
          </w:tcPr>
          <w:p>
            <w:pPr>
              <w:ind w:firstLine="0" w:firstLineChars="0"/>
              <w:jc w:val="center"/>
              <w:rPr>
                <w:rFonts w:ascii="宋体" w:hAnsi="宋体" w:cs="Arial"/>
                <w:bCs/>
                <w:color w:val="000000" w:themeColor="text1"/>
                <w14:textFill>
                  <w14:solidFill>
                    <w14:schemeClr w14:val="tx1"/>
                  </w14:solidFill>
                </w14:textFill>
              </w:rPr>
            </w:pPr>
            <w:r>
              <w:rPr>
                <w:rFonts w:hint="eastAsia" w:ascii="宋体" w:hAnsi="宋体" w:cs="Arial"/>
                <w:bCs/>
                <w:color w:val="000000" w:themeColor="text1"/>
                <w14:textFill>
                  <w14:solidFill>
                    <w14:schemeClr w14:val="tx1"/>
                  </w14:solidFill>
                </w14:textFill>
              </w:rPr>
              <w:t>其中</w:t>
            </w:r>
          </w:p>
        </w:tc>
        <w:tc>
          <w:tcPr>
            <w:tcW w:w="1680" w:type="dxa"/>
            <w:gridSpan w:val="3"/>
            <w:vMerge w:val="restart"/>
            <w:vAlign w:val="center"/>
          </w:tcPr>
          <w:p>
            <w:pPr>
              <w:ind w:firstLine="0" w:firstLineChars="0"/>
              <w:jc w:val="center"/>
              <w:rPr>
                <w:rFonts w:ascii="宋体" w:hAnsi="宋体" w:cs="Arial"/>
                <w:bCs/>
                <w:color w:val="000000" w:themeColor="text1"/>
                <w14:textFill>
                  <w14:solidFill>
                    <w14:schemeClr w14:val="tx1"/>
                  </w14:solidFill>
                </w14:textFill>
              </w:rPr>
            </w:pPr>
            <w:r>
              <w:rPr>
                <w:rFonts w:hint="eastAsia" w:ascii="宋体" w:hAnsi="宋体" w:cs="Arial"/>
                <w:bCs/>
                <w:color w:val="000000" w:themeColor="text1"/>
                <w14:textFill>
                  <w14:solidFill>
                    <w14:schemeClr w14:val="tx1"/>
                  </w14:solidFill>
                </w14:textFill>
              </w:rPr>
              <w:t>高级职称人员</w:t>
            </w:r>
          </w:p>
        </w:tc>
        <w:tc>
          <w:tcPr>
            <w:tcW w:w="1680" w:type="dxa"/>
            <w:gridSpan w:val="3"/>
            <w:vMerge w:val="restart"/>
            <w:vAlign w:val="center"/>
          </w:tcPr>
          <w:p>
            <w:pPr>
              <w:ind w:firstLine="480"/>
              <w:jc w:val="center"/>
              <w:rPr>
                <w:rFonts w:ascii="宋体" w:hAnsi="宋体" w:cs="Arial"/>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865" w:type="dxa"/>
            <w:vAlign w:val="center"/>
          </w:tcPr>
          <w:p>
            <w:pPr>
              <w:ind w:firstLine="0" w:firstLineChars="0"/>
              <w:jc w:val="center"/>
              <w:rPr>
                <w:rFonts w:ascii="宋体" w:hAnsi="宋体" w:cs="Arial"/>
                <w:bCs/>
                <w:color w:val="000000" w:themeColor="text1"/>
                <w14:textFill>
                  <w14:solidFill>
                    <w14:schemeClr w14:val="tx1"/>
                  </w14:solidFill>
                </w14:textFill>
              </w:rPr>
            </w:pPr>
            <w:r>
              <w:rPr>
                <w:rFonts w:hint="eastAsia" w:ascii="宋体" w:hAnsi="宋体" w:cs="Arial"/>
                <w:bCs/>
                <w:color w:val="000000" w:themeColor="text1"/>
                <w14:textFill>
                  <w14:solidFill>
                    <w14:schemeClr w14:val="tx1"/>
                  </w14:solidFill>
                </w14:textFill>
              </w:rPr>
              <w:t>营业执照</w:t>
            </w:r>
            <w:r>
              <w:rPr>
                <w:rFonts w:hint="eastAsia"/>
                <w:color w:val="000000" w:themeColor="text1"/>
                <w14:textFill>
                  <w14:solidFill>
                    <w14:schemeClr w14:val="tx1"/>
                  </w14:solidFill>
                </w14:textFill>
              </w:rPr>
              <w:t>号</w:t>
            </w:r>
          </w:p>
        </w:tc>
        <w:tc>
          <w:tcPr>
            <w:tcW w:w="2841" w:type="dxa"/>
            <w:gridSpan w:val="3"/>
            <w:vAlign w:val="center"/>
          </w:tcPr>
          <w:p>
            <w:pPr>
              <w:ind w:firstLine="0" w:firstLineChars="0"/>
              <w:jc w:val="center"/>
              <w:rPr>
                <w:rFonts w:ascii="宋体" w:hAnsi="宋体" w:cs="Arial"/>
                <w:bCs/>
                <w:color w:val="000000" w:themeColor="text1"/>
                <w14:textFill>
                  <w14:solidFill>
                    <w14:schemeClr w14:val="tx1"/>
                  </w14:solidFill>
                </w14:textFill>
              </w:rPr>
            </w:pPr>
          </w:p>
        </w:tc>
        <w:tc>
          <w:tcPr>
            <w:tcW w:w="1680" w:type="dxa"/>
            <w:gridSpan w:val="2"/>
            <w:vMerge w:val="continue"/>
            <w:vAlign w:val="center"/>
          </w:tcPr>
          <w:p>
            <w:pPr>
              <w:ind w:firstLine="0" w:firstLineChars="0"/>
              <w:jc w:val="center"/>
              <w:rPr>
                <w:rFonts w:ascii="宋体" w:hAnsi="宋体" w:cs="Arial"/>
                <w:bCs/>
                <w:color w:val="000000" w:themeColor="text1"/>
                <w14:textFill>
                  <w14:solidFill>
                    <w14:schemeClr w14:val="tx1"/>
                  </w14:solidFill>
                </w14:textFill>
              </w:rPr>
            </w:pPr>
          </w:p>
        </w:tc>
        <w:tc>
          <w:tcPr>
            <w:tcW w:w="1680" w:type="dxa"/>
            <w:gridSpan w:val="3"/>
            <w:vMerge w:val="continue"/>
            <w:vAlign w:val="center"/>
          </w:tcPr>
          <w:p>
            <w:pPr>
              <w:ind w:firstLine="0" w:firstLineChars="0"/>
              <w:jc w:val="center"/>
              <w:rPr>
                <w:rFonts w:ascii="宋体" w:hAnsi="宋体" w:cs="Arial"/>
                <w:bCs/>
                <w:color w:val="000000" w:themeColor="text1"/>
                <w14:textFill>
                  <w14:solidFill>
                    <w14:schemeClr w14:val="tx1"/>
                  </w14:solidFill>
                </w14:textFill>
              </w:rPr>
            </w:pPr>
          </w:p>
        </w:tc>
        <w:tc>
          <w:tcPr>
            <w:tcW w:w="1680" w:type="dxa"/>
            <w:gridSpan w:val="3"/>
            <w:vMerge w:val="continue"/>
            <w:vAlign w:val="center"/>
          </w:tcPr>
          <w:p>
            <w:pPr>
              <w:ind w:firstLine="480"/>
              <w:jc w:val="center"/>
              <w:rPr>
                <w:rFonts w:ascii="宋体" w:hAnsi="宋体" w:cs="Arial"/>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865" w:type="dxa"/>
            <w:vAlign w:val="center"/>
          </w:tcPr>
          <w:p>
            <w:pPr>
              <w:ind w:firstLine="0" w:firstLineChars="0"/>
              <w:jc w:val="center"/>
              <w:rPr>
                <w:rFonts w:ascii="宋体" w:hAnsi="宋体" w:cs="Arial"/>
                <w:bCs/>
                <w:color w:val="000000" w:themeColor="text1"/>
                <w14:textFill>
                  <w14:solidFill>
                    <w14:schemeClr w14:val="tx1"/>
                  </w14:solidFill>
                </w14:textFill>
              </w:rPr>
            </w:pPr>
            <w:r>
              <w:rPr>
                <w:rFonts w:hint="eastAsia" w:ascii="宋体" w:hAnsi="宋体" w:cs="Arial"/>
                <w:bCs/>
                <w:color w:val="000000" w:themeColor="text1"/>
                <w14:textFill>
                  <w14:solidFill>
                    <w14:schemeClr w14:val="tx1"/>
                  </w14:solidFill>
                </w14:textFill>
              </w:rPr>
              <w:t>注册资金</w:t>
            </w:r>
          </w:p>
        </w:tc>
        <w:tc>
          <w:tcPr>
            <w:tcW w:w="2841" w:type="dxa"/>
            <w:gridSpan w:val="3"/>
            <w:vAlign w:val="center"/>
          </w:tcPr>
          <w:p>
            <w:pPr>
              <w:ind w:firstLine="0" w:firstLineChars="0"/>
              <w:jc w:val="center"/>
              <w:rPr>
                <w:rFonts w:ascii="宋体" w:hAnsi="宋体" w:cs="Arial"/>
                <w:bCs/>
                <w:color w:val="000000" w:themeColor="text1"/>
                <w14:textFill>
                  <w14:solidFill>
                    <w14:schemeClr w14:val="tx1"/>
                  </w14:solidFill>
                </w14:textFill>
              </w:rPr>
            </w:pPr>
          </w:p>
        </w:tc>
        <w:tc>
          <w:tcPr>
            <w:tcW w:w="1680" w:type="dxa"/>
            <w:gridSpan w:val="2"/>
            <w:vMerge w:val="continue"/>
            <w:vAlign w:val="center"/>
          </w:tcPr>
          <w:p>
            <w:pPr>
              <w:ind w:firstLine="0" w:firstLineChars="0"/>
              <w:jc w:val="center"/>
              <w:rPr>
                <w:rFonts w:ascii="宋体" w:hAnsi="宋体" w:cs="Arial"/>
                <w:bCs/>
                <w:color w:val="000000" w:themeColor="text1"/>
                <w14:textFill>
                  <w14:solidFill>
                    <w14:schemeClr w14:val="tx1"/>
                  </w14:solidFill>
                </w14:textFill>
              </w:rPr>
            </w:pPr>
          </w:p>
        </w:tc>
        <w:tc>
          <w:tcPr>
            <w:tcW w:w="1680" w:type="dxa"/>
            <w:gridSpan w:val="3"/>
            <w:vAlign w:val="center"/>
          </w:tcPr>
          <w:p>
            <w:pPr>
              <w:ind w:firstLine="0" w:firstLineChars="0"/>
              <w:jc w:val="center"/>
              <w:rPr>
                <w:rFonts w:ascii="宋体" w:hAnsi="宋体" w:cs="Arial"/>
                <w:bCs/>
                <w:color w:val="000000" w:themeColor="text1"/>
                <w14:textFill>
                  <w14:solidFill>
                    <w14:schemeClr w14:val="tx1"/>
                  </w14:solidFill>
                </w14:textFill>
              </w:rPr>
            </w:pPr>
            <w:r>
              <w:rPr>
                <w:rFonts w:hint="eastAsia" w:ascii="宋体" w:hAnsi="宋体" w:cs="Arial"/>
                <w:bCs/>
                <w:color w:val="000000" w:themeColor="text1"/>
                <w14:textFill>
                  <w14:solidFill>
                    <w14:schemeClr w14:val="tx1"/>
                  </w14:solidFill>
                </w14:textFill>
              </w:rPr>
              <w:t>中级职称人员</w:t>
            </w:r>
          </w:p>
        </w:tc>
        <w:tc>
          <w:tcPr>
            <w:tcW w:w="1680" w:type="dxa"/>
            <w:gridSpan w:val="3"/>
            <w:vAlign w:val="center"/>
          </w:tcPr>
          <w:p>
            <w:pPr>
              <w:ind w:firstLine="480"/>
              <w:jc w:val="center"/>
              <w:rPr>
                <w:rFonts w:ascii="宋体" w:hAnsi="宋体" w:cs="Arial"/>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865" w:type="dxa"/>
            <w:vAlign w:val="center"/>
          </w:tcPr>
          <w:p>
            <w:pPr>
              <w:ind w:firstLine="0" w:firstLineChars="0"/>
              <w:jc w:val="center"/>
              <w:rPr>
                <w:rFonts w:ascii="宋体" w:hAnsi="宋体" w:cs="Arial"/>
                <w:bCs/>
                <w:color w:val="000000" w:themeColor="text1"/>
                <w14:textFill>
                  <w14:solidFill>
                    <w14:schemeClr w14:val="tx1"/>
                  </w14:solidFill>
                </w14:textFill>
              </w:rPr>
            </w:pPr>
            <w:r>
              <w:rPr>
                <w:rFonts w:hint="eastAsia" w:ascii="宋体" w:hAnsi="宋体" w:cs="Arial"/>
                <w:bCs/>
                <w:color w:val="000000" w:themeColor="text1"/>
                <w14:textFill>
                  <w14:solidFill>
                    <w14:schemeClr w14:val="tx1"/>
                  </w14:solidFill>
                </w14:textFill>
              </w:rPr>
              <w:t>开户银行</w:t>
            </w:r>
          </w:p>
        </w:tc>
        <w:tc>
          <w:tcPr>
            <w:tcW w:w="2841" w:type="dxa"/>
            <w:gridSpan w:val="3"/>
            <w:vAlign w:val="center"/>
          </w:tcPr>
          <w:p>
            <w:pPr>
              <w:ind w:firstLine="0" w:firstLineChars="0"/>
              <w:jc w:val="center"/>
              <w:rPr>
                <w:rFonts w:ascii="宋体" w:hAnsi="宋体" w:cs="Arial"/>
                <w:bCs/>
                <w:color w:val="000000" w:themeColor="text1"/>
                <w14:textFill>
                  <w14:solidFill>
                    <w14:schemeClr w14:val="tx1"/>
                  </w14:solidFill>
                </w14:textFill>
              </w:rPr>
            </w:pPr>
          </w:p>
        </w:tc>
        <w:tc>
          <w:tcPr>
            <w:tcW w:w="1680" w:type="dxa"/>
            <w:gridSpan w:val="2"/>
            <w:vMerge w:val="continue"/>
            <w:vAlign w:val="center"/>
          </w:tcPr>
          <w:p>
            <w:pPr>
              <w:ind w:firstLine="0" w:firstLineChars="0"/>
              <w:jc w:val="center"/>
              <w:rPr>
                <w:rFonts w:ascii="宋体" w:hAnsi="宋体" w:cs="Arial"/>
                <w:bCs/>
                <w:color w:val="000000" w:themeColor="text1"/>
                <w14:textFill>
                  <w14:solidFill>
                    <w14:schemeClr w14:val="tx1"/>
                  </w14:solidFill>
                </w14:textFill>
              </w:rPr>
            </w:pPr>
          </w:p>
        </w:tc>
        <w:tc>
          <w:tcPr>
            <w:tcW w:w="1680" w:type="dxa"/>
            <w:gridSpan w:val="3"/>
            <w:vAlign w:val="center"/>
          </w:tcPr>
          <w:p>
            <w:pPr>
              <w:ind w:firstLine="0" w:firstLineChars="0"/>
              <w:jc w:val="center"/>
              <w:rPr>
                <w:rFonts w:ascii="宋体" w:hAnsi="宋体" w:cs="Arial"/>
                <w:bCs/>
                <w:color w:val="000000" w:themeColor="text1"/>
                <w14:textFill>
                  <w14:solidFill>
                    <w14:schemeClr w14:val="tx1"/>
                  </w14:solidFill>
                </w14:textFill>
              </w:rPr>
            </w:pPr>
            <w:r>
              <w:rPr>
                <w:rFonts w:hint="eastAsia" w:ascii="宋体" w:hAnsi="宋体" w:cs="Arial"/>
                <w:bCs/>
                <w:color w:val="000000" w:themeColor="text1"/>
                <w14:textFill>
                  <w14:solidFill>
                    <w14:schemeClr w14:val="tx1"/>
                  </w14:solidFill>
                </w14:textFill>
              </w:rPr>
              <w:t>初级职称人员</w:t>
            </w:r>
          </w:p>
        </w:tc>
        <w:tc>
          <w:tcPr>
            <w:tcW w:w="1680" w:type="dxa"/>
            <w:gridSpan w:val="3"/>
            <w:vAlign w:val="center"/>
          </w:tcPr>
          <w:p>
            <w:pPr>
              <w:ind w:firstLine="480"/>
              <w:jc w:val="center"/>
              <w:rPr>
                <w:rFonts w:ascii="宋体" w:hAnsi="宋体" w:cs="Arial"/>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865" w:type="dxa"/>
            <w:vAlign w:val="center"/>
          </w:tcPr>
          <w:p>
            <w:pPr>
              <w:ind w:firstLine="0" w:firstLineChars="0"/>
              <w:jc w:val="center"/>
              <w:rPr>
                <w:rFonts w:ascii="宋体" w:hAnsi="宋体" w:cs="Arial"/>
                <w:bCs/>
                <w:color w:val="000000" w:themeColor="text1"/>
                <w14:textFill>
                  <w14:solidFill>
                    <w14:schemeClr w14:val="tx1"/>
                  </w14:solidFill>
                </w14:textFill>
              </w:rPr>
            </w:pPr>
            <w:r>
              <w:rPr>
                <w:rFonts w:hint="eastAsia" w:ascii="宋体" w:hAnsi="宋体" w:cs="Arial"/>
                <w:bCs/>
                <w:color w:val="000000" w:themeColor="text1"/>
                <w14:textFill>
                  <w14:solidFill>
                    <w14:schemeClr w14:val="tx1"/>
                  </w14:solidFill>
                </w14:textFill>
              </w:rPr>
              <w:t>账号</w:t>
            </w:r>
          </w:p>
        </w:tc>
        <w:tc>
          <w:tcPr>
            <w:tcW w:w="2841" w:type="dxa"/>
            <w:gridSpan w:val="3"/>
            <w:vAlign w:val="center"/>
          </w:tcPr>
          <w:p>
            <w:pPr>
              <w:ind w:firstLine="0" w:firstLineChars="0"/>
              <w:jc w:val="center"/>
              <w:rPr>
                <w:rFonts w:ascii="宋体" w:hAnsi="宋体" w:cs="Arial"/>
                <w:bCs/>
                <w:color w:val="000000" w:themeColor="text1"/>
                <w14:textFill>
                  <w14:solidFill>
                    <w14:schemeClr w14:val="tx1"/>
                  </w14:solidFill>
                </w14:textFill>
              </w:rPr>
            </w:pPr>
          </w:p>
        </w:tc>
        <w:tc>
          <w:tcPr>
            <w:tcW w:w="1680" w:type="dxa"/>
            <w:gridSpan w:val="2"/>
            <w:vMerge w:val="continue"/>
            <w:vAlign w:val="center"/>
          </w:tcPr>
          <w:p>
            <w:pPr>
              <w:ind w:firstLine="0" w:firstLineChars="0"/>
              <w:jc w:val="center"/>
              <w:rPr>
                <w:rFonts w:ascii="宋体" w:hAnsi="宋体" w:cs="Arial"/>
                <w:bCs/>
                <w:color w:val="000000" w:themeColor="text1"/>
                <w14:textFill>
                  <w14:solidFill>
                    <w14:schemeClr w14:val="tx1"/>
                  </w14:solidFill>
                </w14:textFill>
              </w:rPr>
            </w:pPr>
          </w:p>
        </w:tc>
        <w:tc>
          <w:tcPr>
            <w:tcW w:w="1680" w:type="dxa"/>
            <w:gridSpan w:val="3"/>
            <w:vAlign w:val="center"/>
          </w:tcPr>
          <w:p>
            <w:pPr>
              <w:ind w:firstLine="0" w:firstLineChars="0"/>
              <w:jc w:val="center"/>
              <w:rPr>
                <w:rFonts w:ascii="宋体" w:hAnsi="宋体" w:cs="Arial"/>
                <w:bCs/>
                <w:color w:val="000000" w:themeColor="text1"/>
                <w14:textFill>
                  <w14:solidFill>
                    <w14:schemeClr w14:val="tx1"/>
                  </w14:solidFill>
                </w14:textFill>
              </w:rPr>
            </w:pPr>
            <w:r>
              <w:rPr>
                <w:rFonts w:hint="eastAsia" w:ascii="宋体" w:hAnsi="宋体" w:cs="Arial"/>
                <w:bCs/>
                <w:color w:val="000000" w:themeColor="text1"/>
                <w14:textFill>
                  <w14:solidFill>
                    <w14:schemeClr w14:val="tx1"/>
                  </w14:solidFill>
                </w14:textFill>
              </w:rPr>
              <w:t>技工</w:t>
            </w:r>
          </w:p>
        </w:tc>
        <w:tc>
          <w:tcPr>
            <w:tcW w:w="1680" w:type="dxa"/>
            <w:gridSpan w:val="3"/>
            <w:vAlign w:val="center"/>
          </w:tcPr>
          <w:p>
            <w:pPr>
              <w:ind w:firstLine="480"/>
              <w:jc w:val="center"/>
              <w:rPr>
                <w:rFonts w:ascii="宋体" w:hAnsi="宋体" w:cs="Arial"/>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865" w:type="dxa"/>
            <w:vAlign w:val="center"/>
          </w:tcPr>
          <w:p>
            <w:pPr>
              <w:ind w:firstLine="480"/>
              <w:jc w:val="center"/>
              <w:rPr>
                <w:rFonts w:ascii="宋体" w:hAnsi="宋体" w:cs="Arial"/>
                <w:bCs/>
                <w:color w:val="000000" w:themeColor="text1"/>
                <w14:textFill>
                  <w14:solidFill>
                    <w14:schemeClr w14:val="tx1"/>
                  </w14:solidFill>
                </w14:textFill>
              </w:rPr>
            </w:pPr>
            <w:r>
              <w:rPr>
                <w:rFonts w:hint="eastAsia" w:ascii="宋体" w:hAnsi="宋体" w:cs="Arial"/>
                <w:bCs/>
                <w:color w:val="000000" w:themeColor="text1"/>
                <w14:textFill>
                  <w14:solidFill>
                    <w14:schemeClr w14:val="tx1"/>
                  </w14:solidFill>
                </w14:textFill>
              </w:rPr>
              <w:t>经营范围</w:t>
            </w:r>
          </w:p>
        </w:tc>
        <w:tc>
          <w:tcPr>
            <w:tcW w:w="7881" w:type="dxa"/>
            <w:gridSpan w:val="11"/>
            <w:vAlign w:val="center"/>
          </w:tcPr>
          <w:p>
            <w:pPr>
              <w:ind w:firstLine="480"/>
              <w:jc w:val="center"/>
              <w:rPr>
                <w:rFonts w:ascii="宋体" w:hAnsi="宋体" w:cs="Arial"/>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865" w:type="dxa"/>
            <w:vAlign w:val="center"/>
          </w:tcPr>
          <w:p>
            <w:pPr>
              <w:ind w:firstLine="480"/>
              <w:jc w:val="center"/>
              <w:rPr>
                <w:rFonts w:ascii="宋体" w:hAnsi="宋体" w:cs="Arial"/>
                <w:bCs/>
                <w:color w:val="000000" w:themeColor="text1"/>
                <w14:textFill>
                  <w14:solidFill>
                    <w14:schemeClr w14:val="tx1"/>
                  </w14:solidFill>
                </w14:textFill>
              </w:rPr>
            </w:pPr>
            <w:r>
              <w:rPr>
                <w:rFonts w:hint="eastAsia" w:ascii="宋体" w:hAnsi="宋体" w:cs="Arial"/>
                <w:bCs/>
                <w:color w:val="000000" w:themeColor="text1"/>
                <w14:textFill>
                  <w14:solidFill>
                    <w14:schemeClr w14:val="tx1"/>
                  </w14:solidFill>
                </w14:textFill>
              </w:rPr>
              <w:t>备注</w:t>
            </w:r>
          </w:p>
        </w:tc>
        <w:tc>
          <w:tcPr>
            <w:tcW w:w="7881" w:type="dxa"/>
            <w:gridSpan w:val="11"/>
            <w:vAlign w:val="center"/>
          </w:tcPr>
          <w:p>
            <w:pPr>
              <w:ind w:firstLine="480"/>
              <w:jc w:val="center"/>
              <w:rPr>
                <w:rFonts w:ascii="宋体" w:hAnsi="宋体" w:cs="Arial"/>
                <w:bCs/>
                <w:color w:val="000000" w:themeColor="text1"/>
                <w14:textFill>
                  <w14:solidFill>
                    <w14:schemeClr w14:val="tx1"/>
                  </w14:solidFill>
                </w14:textFill>
              </w:rPr>
            </w:pPr>
          </w:p>
        </w:tc>
      </w:tr>
    </w:tbl>
    <w:p>
      <w:pPr>
        <w:adjustRightInd w:val="0"/>
        <w:spacing w:line="400" w:lineRule="exact"/>
        <w:ind w:firstLine="480"/>
        <w:rPr>
          <w:rFonts w:ascii="宋体" w:hAnsi="宋体"/>
          <w:color w:val="000000" w:themeColor="text1"/>
          <w14:textFill>
            <w14:solidFill>
              <w14:schemeClr w14:val="tx1"/>
            </w14:solidFill>
          </w14:textFill>
        </w:rPr>
      </w:pPr>
    </w:p>
    <w:p>
      <w:pPr>
        <w:adjustRightInd w:val="0"/>
        <w:spacing w:line="400" w:lineRule="exact"/>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投标人名称：XXX（盖单位公章）</w:t>
      </w:r>
    </w:p>
    <w:p>
      <w:pPr>
        <w:adjustRightInd w:val="0"/>
        <w:spacing w:line="400" w:lineRule="exact"/>
        <w:ind w:firstLine="48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法定代表人或授权代表（签字或盖章）：XXX</w:t>
      </w:r>
    </w:p>
    <w:p>
      <w:pPr>
        <w:adjustRightInd w:val="0"/>
        <w:spacing w:line="400" w:lineRule="exact"/>
        <w:ind w:firstLine="48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日  期：XXX年XXX月XXX日</w:t>
      </w:r>
    </w:p>
    <w:p>
      <w:pPr>
        <w:ind w:firstLine="723"/>
        <w:rPr>
          <w:rFonts w:ascii="宋体" w:hAnsi="宋体"/>
          <w:b/>
          <w:bCs/>
          <w:color w:val="000000" w:themeColor="text1"/>
          <w:sz w:val="36"/>
          <w14:textFill>
            <w14:solidFill>
              <w14:schemeClr w14:val="tx1"/>
            </w14:solidFill>
          </w14:textFill>
        </w:rPr>
      </w:pPr>
    </w:p>
    <w:p>
      <w:pPr>
        <w:pStyle w:val="3"/>
        <w:ind w:firstLine="562"/>
        <w:rPr>
          <w:color w:val="000000" w:themeColor="text1"/>
          <w14:textFill>
            <w14:solidFill>
              <w14:schemeClr w14:val="tx1"/>
            </w14:solidFill>
          </w14:textFill>
        </w:rPr>
      </w:pPr>
      <w:r>
        <w:rPr>
          <w:rFonts w:hint="eastAsia"/>
          <w:color w:val="000000" w:themeColor="text1"/>
          <w14:textFill>
            <w14:solidFill>
              <w14:schemeClr w14:val="tx1"/>
            </w14:solidFill>
          </w14:textFill>
        </w:rPr>
        <w:t>四、承诺函</w:t>
      </w:r>
    </w:p>
    <w:p>
      <w:pPr>
        <w:spacing w:line="400" w:lineRule="exact"/>
        <w:ind w:firstLine="562"/>
        <w:jc w:val="center"/>
        <w:rPr>
          <w:rFonts w:ascii="宋体" w:hAnsi="宋体" w:eastAsia="黑体"/>
          <w:b/>
          <w:color w:val="000000" w:themeColor="text1"/>
          <w:sz w:val="28"/>
          <w:szCs w:val="28"/>
          <w14:textFill>
            <w14:solidFill>
              <w14:schemeClr w14:val="tx1"/>
            </w14:solidFill>
          </w14:textFill>
        </w:rPr>
      </w:pPr>
    </w:p>
    <w:p>
      <w:pPr>
        <w:ind w:firstLine="480"/>
        <w:rPr>
          <w:rFonts w:ascii="宋体" w:hAnsi="宋体"/>
          <w:color w:val="000000" w:themeColor="text1"/>
          <w14:textFill>
            <w14:solidFill>
              <w14:schemeClr w14:val="tx1"/>
            </w14:solidFill>
          </w14:textFill>
        </w:rPr>
      </w:pP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（招标人名称）：</w:t>
      </w: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我公司作为本次招标项目的投标人，根据招标文件要求，现郑重承诺如下：</w:t>
      </w: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一、我公司符合本项目规定的资格条件：</w:t>
      </w:r>
    </w:p>
    <w:p>
      <w:pPr>
        <w:pStyle w:val="76"/>
        <w:spacing w:line="440" w:lineRule="exact"/>
        <w:ind w:firstLine="319" w:firstLineChars="133"/>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（一）一般资格要求</w:t>
      </w:r>
    </w:p>
    <w:p>
      <w:pPr>
        <w:spacing w:line="440" w:lineRule="exact"/>
        <w:ind w:firstLine="360" w:firstLineChars="15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1.依法注册成立，能够独立承担民事责任；</w:t>
      </w:r>
    </w:p>
    <w:p>
      <w:pPr>
        <w:spacing w:line="440" w:lineRule="exact"/>
        <w:ind w:firstLine="360" w:firstLineChars="15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2.具有良好的商业信誉和健全的财务会计制度；</w:t>
      </w:r>
    </w:p>
    <w:p>
      <w:pPr>
        <w:spacing w:line="440" w:lineRule="exact"/>
        <w:ind w:firstLine="360" w:firstLineChars="15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.具有依法纳税和缴纳社保的良好记录；</w:t>
      </w:r>
    </w:p>
    <w:p>
      <w:pPr>
        <w:spacing w:line="440" w:lineRule="exact"/>
        <w:ind w:firstLine="360" w:firstLineChars="15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w:t>
      </w:r>
      <w:r>
        <w:rPr>
          <w:rFonts w:hint="eastAsia" w:ascii="宋体" w:hAnsi="宋体"/>
          <w:color w:val="000000" w:themeColor="text1"/>
          <w14:textFill>
            <w14:solidFill>
              <w14:schemeClr w14:val="tx1"/>
            </w14:solidFill>
          </w14:textFill>
        </w:rPr>
        <w:t>.具有履约所必须的基本财务实力、专业技术能力、服务渠道支持能力和行业经验，提供的产品符合国家、行业标准及招标方要求；</w:t>
      </w:r>
    </w:p>
    <w:p>
      <w:pPr>
        <w:spacing w:line="440" w:lineRule="exact"/>
        <w:ind w:firstLine="360" w:firstLineChars="15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（二）针对本项目的特殊资格要求：</w:t>
      </w:r>
    </w:p>
    <w:p>
      <w:pPr>
        <w:ind w:firstLine="439" w:firstLineChars="183"/>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投标人必须拥有自主产权的专用线（专用铁路）;</w:t>
      </w:r>
    </w:p>
    <w:p>
      <w:pPr>
        <w:ind w:firstLine="439" w:firstLineChars="183"/>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投标人专用线（专用铁路）线路及其附属设施、设备状况良好，按照相关要求定期进行维护;</w:t>
      </w:r>
    </w:p>
    <w:p>
      <w:pPr>
        <w:ind w:firstLine="439" w:firstLineChars="183"/>
        <w:rPr>
          <w:color w:val="000000" w:themeColor="text1"/>
          <w14:textFill>
            <w14:solidFill>
              <w14:schemeClr w14:val="tx1"/>
            </w14:solidFill>
          </w14:textFill>
        </w:rPr>
      </w:pPr>
      <w:r>
        <w:rPr>
          <w:rFonts w:hint="eastAsia"/>
          <w:color w:val="000000" w:themeColor="text1"/>
          <w14:textFill>
            <w14:solidFill>
              <w14:schemeClr w14:val="tx1"/>
            </w14:solidFill>
          </w14:textFill>
        </w:rPr>
        <w:t>3. 投标人能够提供5000平方以上场地（含照明、围栏等配套设施）作为集装箱运输业务的作业场地；</w:t>
      </w:r>
    </w:p>
    <w:p>
      <w:pPr>
        <w:ind w:firstLine="439" w:firstLineChars="183"/>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投标人铁路信用良好。</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（三）本次招标不允许联合体招标。</w:t>
      </w: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二、完全接受和满足本项目招标文件中规定的实质性要求，如对招标文件有异议，已经在递交响应文件截止时间届满前依法进行维权救济，不存在对招标文件有异议的同时又参加招标以求侥幸成交或者为实现其他非法目的的行为。</w:t>
      </w: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三、在参加本次招标活动中，不存在与单位负责人为同一人或者存在直接控股、管理关系的其他投标人参与同一合同项下的招标活动的行为。</w:t>
      </w: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四、在参加本次招标活动中，不存在和其他投标人在同一合同项下的招标项目中，同时委托同一个自然人、同一家庭的人员、同一单位的人员作为代理人的行为。</w:t>
      </w: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五、响应文件中提供的任何资料和技术、服务、商务等响应承诺情况都是真实的、有效的、合法的。</w:t>
      </w:r>
    </w:p>
    <w:p>
      <w:pPr>
        <w:ind w:firstLine="0" w:firstLineChars="0"/>
        <w:rPr>
          <w:rFonts w:ascii="宋体" w:hAnsi="宋体"/>
          <w:color w:val="000000" w:themeColor="text1"/>
          <w14:textFill>
            <w14:solidFill>
              <w14:schemeClr w14:val="tx1"/>
            </w14:solidFill>
          </w14:textFill>
        </w:rPr>
      </w:pPr>
    </w:p>
    <w:p>
      <w:pPr>
        <w:pStyle w:val="2"/>
        <w:rPr>
          <w:color w:val="000000" w:themeColor="text1"/>
          <w14:textFill>
            <w14:solidFill>
              <w14:schemeClr w14:val="tx1"/>
            </w14:solidFill>
          </w14:textFill>
        </w:rPr>
      </w:pP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本公司对上述承诺的内容事项真实性负责。如经查实上述承诺的内容事项存在虚假，我公司愿意接受以提供虚假材料谋取成交的法律责任。</w:t>
      </w:r>
    </w:p>
    <w:p>
      <w:pPr>
        <w:ind w:firstLine="480"/>
        <w:rPr>
          <w:rFonts w:ascii="宋体" w:hAnsi="宋体"/>
          <w:color w:val="000000" w:themeColor="text1"/>
          <w14:textFill>
            <w14:solidFill>
              <w14:schemeClr w14:val="tx1"/>
            </w14:solidFill>
          </w14:textFill>
        </w:rPr>
      </w:pPr>
    </w:p>
    <w:p>
      <w:pPr>
        <w:ind w:firstLine="480"/>
        <w:rPr>
          <w:rFonts w:ascii="宋体" w:hAnsi="宋体"/>
          <w:color w:val="000000" w:themeColor="text1"/>
          <w14:textFill>
            <w14:solidFill>
              <w14:schemeClr w14:val="tx1"/>
            </w14:solidFill>
          </w14:textFill>
        </w:rPr>
      </w:pP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法定代表人</w:t>
      </w:r>
      <w:r>
        <w:rPr>
          <w:rFonts w:hint="eastAsia"/>
          <w:bCs/>
          <w:color w:val="000000" w:themeColor="text1"/>
          <w14:textFill>
            <w14:solidFill>
              <w14:schemeClr w14:val="tx1"/>
            </w14:solidFill>
          </w14:textFill>
        </w:rPr>
        <w:t>或授权代表（签字或盖章）</w:t>
      </w:r>
      <w:r>
        <w:rPr>
          <w:rFonts w:hint="eastAsia" w:ascii="宋体" w:hAnsi="宋体"/>
          <w:color w:val="000000" w:themeColor="text1"/>
          <w14:textFill>
            <w14:solidFill>
              <w14:schemeClr w14:val="tx1"/>
            </w14:solidFill>
          </w14:textFill>
        </w:rPr>
        <w:t>）：XXXX</w:t>
      </w: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投标人名称：XXXX（盖章）</w:t>
      </w:r>
    </w:p>
    <w:p>
      <w:pPr>
        <w:ind w:firstLine="480"/>
        <w:rPr>
          <w:rFonts w:ascii="宋体" w:hAnsi="宋体"/>
          <w:bCs/>
          <w:color w:val="000000" w:themeColor="text1"/>
          <w:szCs w:val="30"/>
          <w14:textFill>
            <w14:solidFill>
              <w14:schemeClr w14:val="tx1"/>
            </w14:solidFill>
          </w14:textFill>
        </w:rPr>
      </w:pPr>
      <w:r>
        <w:rPr>
          <w:rFonts w:hint="eastAsia" w:ascii="宋体" w:hAnsi="宋体"/>
          <w:color w:val="000000" w:themeColor="text1"/>
          <w14:textFill>
            <w14:solidFill>
              <w14:schemeClr w14:val="tx1"/>
            </w14:solidFill>
          </w14:textFill>
        </w:rPr>
        <w:t>日    期：XXX年XXX月XXX日</w:t>
      </w:r>
    </w:p>
    <w:p>
      <w:pPr>
        <w:ind w:firstLine="600"/>
        <w:jc w:val="center"/>
        <w:rPr>
          <w:rFonts w:ascii="宋体" w:hAnsi="宋体"/>
          <w:bCs/>
          <w:color w:val="000000" w:themeColor="text1"/>
          <w:sz w:val="30"/>
          <w:szCs w:val="30"/>
          <w14:textFill>
            <w14:solidFill>
              <w14:schemeClr w14:val="tx1"/>
            </w14:solidFill>
          </w14:textFill>
        </w:rPr>
      </w:pPr>
    </w:p>
    <w:p>
      <w:pPr>
        <w:ind w:firstLine="600"/>
        <w:jc w:val="center"/>
        <w:rPr>
          <w:rFonts w:ascii="宋体" w:hAnsi="宋体"/>
          <w:bCs/>
          <w:color w:val="000000" w:themeColor="text1"/>
          <w:sz w:val="30"/>
          <w:szCs w:val="30"/>
          <w14:textFill>
            <w14:solidFill>
              <w14:schemeClr w14:val="tx1"/>
            </w14:solidFill>
          </w14:textFill>
        </w:rPr>
      </w:pPr>
    </w:p>
    <w:p>
      <w:pPr>
        <w:ind w:firstLine="600"/>
        <w:rPr>
          <w:rFonts w:ascii="宋体" w:hAnsi="宋体"/>
          <w:bCs/>
          <w:color w:val="000000" w:themeColor="text1"/>
          <w:sz w:val="30"/>
          <w:szCs w:val="30"/>
          <w14:textFill>
            <w14:solidFill>
              <w14:schemeClr w14:val="tx1"/>
            </w14:solidFill>
          </w14:textFill>
        </w:rPr>
      </w:pPr>
    </w:p>
    <w:p>
      <w:pPr>
        <w:ind w:firstLine="600"/>
        <w:rPr>
          <w:rFonts w:ascii="宋体" w:hAnsi="宋体"/>
          <w:bCs/>
          <w:color w:val="000000" w:themeColor="text1"/>
          <w:sz w:val="30"/>
          <w:szCs w:val="30"/>
          <w14:textFill>
            <w14:solidFill>
              <w14:schemeClr w14:val="tx1"/>
            </w14:solidFill>
          </w14:textFill>
        </w:rPr>
      </w:pPr>
    </w:p>
    <w:p>
      <w:pPr>
        <w:ind w:firstLine="643"/>
        <w:jc w:val="center"/>
        <w:rPr>
          <w:b/>
          <w:color w:val="000000" w:themeColor="text1"/>
          <w:sz w:val="32"/>
          <w:szCs w:val="32"/>
          <w14:textFill>
            <w14:solidFill>
              <w14:schemeClr w14:val="tx1"/>
            </w14:solidFill>
          </w14:textFill>
        </w:rPr>
      </w:pP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p>
    <w:p>
      <w:pPr>
        <w:ind w:firstLine="643"/>
        <w:jc w:val="center"/>
        <w:rPr>
          <w:b/>
          <w:color w:val="000000" w:themeColor="text1"/>
          <w:sz w:val="32"/>
          <w:szCs w:val="32"/>
          <w14:textFill>
            <w14:solidFill>
              <w14:schemeClr w14:val="tx1"/>
            </w14:solidFill>
          </w14:textFill>
        </w:rPr>
      </w:pPr>
    </w:p>
    <w:p>
      <w:pPr>
        <w:ind w:firstLine="720"/>
        <w:rPr>
          <w:color w:val="000000" w:themeColor="text1"/>
          <w:sz w:val="36"/>
          <w:szCs w:val="36"/>
          <w14:textFill>
            <w14:solidFill>
              <w14:schemeClr w14:val="tx1"/>
            </w14:solidFill>
          </w14:textFill>
        </w:rPr>
        <w:sectPr>
          <w:pgSz w:w="13607" w:h="16840"/>
          <w:pgMar w:top="1440" w:right="1797" w:bottom="1440" w:left="1797" w:header="851" w:footer="992" w:gutter="0"/>
          <w:pgNumType w:fmt="numberInDash"/>
          <w:cols w:space="720" w:num="1"/>
          <w:titlePg/>
          <w:docGrid w:linePitch="312" w:charSpace="0"/>
        </w:sectPr>
      </w:pPr>
    </w:p>
    <w:p>
      <w:pPr>
        <w:ind w:firstLine="643"/>
        <w:jc w:val="center"/>
        <w:rPr>
          <w:b/>
          <w:color w:val="000000" w:themeColor="text1"/>
          <w:sz w:val="32"/>
          <w:szCs w:val="32"/>
          <w14:textFill>
            <w14:solidFill>
              <w14:schemeClr w14:val="tx1"/>
            </w14:solidFill>
          </w14:textFill>
        </w:rPr>
      </w:pPr>
    </w:p>
    <w:p>
      <w:pPr>
        <w:pStyle w:val="3"/>
        <w:ind w:firstLine="562"/>
        <w:rPr>
          <w:color w:val="000000" w:themeColor="text1"/>
          <w14:textFill>
            <w14:solidFill>
              <w14:schemeClr w14:val="tx1"/>
            </w14:solidFill>
          </w14:textFill>
        </w:rPr>
      </w:pPr>
      <w:r>
        <w:rPr>
          <w:rFonts w:hint="eastAsia"/>
          <w:color w:val="000000" w:themeColor="text1"/>
          <w14:textFill>
            <w14:solidFill>
              <w14:schemeClr w14:val="tx1"/>
            </w14:solidFill>
          </w14:textFill>
        </w:rPr>
        <w:t>五、报价</w:t>
      </w:r>
    </w:p>
    <w:p>
      <w:pPr>
        <w:ind w:firstLine="643"/>
        <w:jc w:val="center"/>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项目报价单</w:t>
      </w:r>
    </w:p>
    <w:p>
      <w:pPr>
        <w:ind w:firstLine="480"/>
        <w:rPr>
          <w:color w:val="000000" w:themeColor="text1"/>
          <w14:textFill>
            <w14:solidFill>
              <w14:schemeClr w14:val="tx1"/>
            </w14:solidFill>
          </w14:textFill>
        </w:rPr>
      </w:pPr>
    </w:p>
    <w:tbl>
      <w:tblPr>
        <w:tblStyle w:val="34"/>
        <w:tblW w:w="0" w:type="auto"/>
        <w:jc w:val="center"/>
        <w:tblLayout w:type="fixed"/>
        <w:tblCellMar>
          <w:top w:w="0" w:type="dxa"/>
          <w:left w:w="10" w:type="dxa"/>
          <w:bottom w:w="0" w:type="dxa"/>
          <w:right w:w="10" w:type="dxa"/>
        </w:tblCellMar>
      </w:tblPr>
      <w:tblGrid>
        <w:gridCol w:w="2856"/>
        <w:gridCol w:w="1663"/>
        <w:gridCol w:w="2373"/>
        <w:gridCol w:w="1572"/>
      </w:tblGrid>
      <w:tr>
        <w:tblPrEx>
          <w:tblCellMar>
            <w:top w:w="0" w:type="dxa"/>
            <w:left w:w="10" w:type="dxa"/>
            <w:bottom w:w="0" w:type="dxa"/>
            <w:right w:w="10" w:type="dxa"/>
          </w:tblCellMar>
        </w:tblPrEx>
        <w:trPr>
          <w:trHeight w:val="788" w:hRule="atLeast"/>
          <w:jc w:val="center"/>
        </w:trPr>
        <w:tc>
          <w:tcPr>
            <w:tcW w:w="28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报价内容</w:t>
            </w:r>
          </w:p>
        </w:tc>
        <w:tc>
          <w:tcPr>
            <w:tcW w:w="16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税率</w:t>
            </w:r>
          </w:p>
        </w:tc>
        <w:tc>
          <w:tcPr>
            <w:tcW w:w="237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响应报价（含税）</w:t>
            </w:r>
          </w:p>
        </w:tc>
        <w:tc>
          <w:tcPr>
            <w:tcW w:w="157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备注</w:t>
            </w:r>
          </w:p>
        </w:tc>
      </w:tr>
      <w:tr>
        <w:tblPrEx>
          <w:tblCellMar>
            <w:top w:w="0" w:type="dxa"/>
            <w:left w:w="10" w:type="dxa"/>
            <w:bottom w:w="0" w:type="dxa"/>
            <w:right w:w="10" w:type="dxa"/>
          </w:tblCellMar>
        </w:tblPrEx>
        <w:trPr>
          <w:trHeight w:val="1215" w:hRule="atLeast"/>
          <w:jc w:val="center"/>
        </w:trPr>
        <w:tc>
          <w:tcPr>
            <w:tcW w:w="2856"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机车取送费</w:t>
            </w:r>
          </w:p>
          <w:p>
            <w:pPr>
              <w:ind w:firstLine="480"/>
              <w:rPr>
                <w:rFonts w:ascii="宋体" w:hAnsi="宋体" w:cs="宋体"/>
                <w:color w:val="000000" w:themeColor="text1"/>
                <w14:textFill>
                  <w14:solidFill>
                    <w14:schemeClr w14:val="tx1"/>
                  </w14:solidFill>
                </w14:textFill>
              </w:rPr>
            </w:pPr>
          </w:p>
        </w:tc>
        <w:tc>
          <w:tcPr>
            <w:tcW w:w="16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0"/>
              <w:rPr>
                <w:rFonts w:ascii="宋体" w:hAnsi="宋体" w:cs="宋体"/>
                <w:color w:val="000000" w:themeColor="text1"/>
                <w:sz w:val="22"/>
                <w14:textFill>
                  <w14:solidFill>
                    <w14:schemeClr w14:val="tx1"/>
                  </w14:solidFill>
                </w14:textFill>
              </w:rPr>
            </w:pPr>
          </w:p>
        </w:tc>
        <w:tc>
          <w:tcPr>
            <w:tcW w:w="237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0"/>
              <w:rPr>
                <w:rFonts w:ascii="宋体" w:hAnsi="宋体" w:cs="宋体"/>
                <w:color w:val="000000" w:themeColor="text1"/>
                <w:sz w:val="22"/>
                <w14:textFill>
                  <w14:solidFill>
                    <w14:schemeClr w14:val="tx1"/>
                  </w14:solidFill>
                </w14:textFill>
              </w:rPr>
            </w:pPr>
          </w:p>
        </w:tc>
        <w:tc>
          <w:tcPr>
            <w:tcW w:w="157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0" w:firstLineChars="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集装箱到达</w:t>
            </w:r>
          </w:p>
        </w:tc>
      </w:tr>
      <w:tr>
        <w:tblPrEx>
          <w:tblCellMar>
            <w:top w:w="0" w:type="dxa"/>
            <w:left w:w="10" w:type="dxa"/>
            <w:bottom w:w="0" w:type="dxa"/>
            <w:right w:w="10" w:type="dxa"/>
          </w:tblCellMar>
        </w:tblPrEx>
        <w:trPr>
          <w:trHeight w:val="1215" w:hRule="atLeast"/>
          <w:jc w:val="center"/>
        </w:trPr>
        <w:tc>
          <w:tcPr>
            <w:tcW w:w="2856" w:type="dxa"/>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0" w:firstLineChars="0"/>
              <w:jc w:val="center"/>
              <w:rPr>
                <w:rFonts w:ascii="宋体" w:hAnsi="宋体" w:cs="宋体"/>
                <w:color w:val="000000" w:themeColor="text1"/>
                <w14:textFill>
                  <w14:solidFill>
                    <w14:schemeClr w14:val="tx1"/>
                  </w14:solidFill>
                </w14:textFill>
              </w:rPr>
            </w:pPr>
          </w:p>
        </w:tc>
        <w:tc>
          <w:tcPr>
            <w:tcW w:w="16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0"/>
              <w:rPr>
                <w:rFonts w:ascii="宋体" w:hAnsi="宋体" w:cs="宋体"/>
                <w:color w:val="000000" w:themeColor="text1"/>
                <w:sz w:val="22"/>
                <w14:textFill>
                  <w14:solidFill>
                    <w14:schemeClr w14:val="tx1"/>
                  </w14:solidFill>
                </w14:textFill>
              </w:rPr>
            </w:pPr>
          </w:p>
        </w:tc>
        <w:tc>
          <w:tcPr>
            <w:tcW w:w="237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40"/>
              <w:rPr>
                <w:rFonts w:ascii="宋体" w:hAnsi="宋体" w:cs="宋体"/>
                <w:color w:val="000000" w:themeColor="text1"/>
                <w:sz w:val="22"/>
                <w14:textFill>
                  <w14:solidFill>
                    <w14:schemeClr w14:val="tx1"/>
                  </w14:solidFill>
                </w14:textFill>
              </w:rPr>
            </w:pPr>
          </w:p>
        </w:tc>
        <w:tc>
          <w:tcPr>
            <w:tcW w:w="157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0" w:firstLineChars="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集装箱发运</w:t>
            </w:r>
          </w:p>
        </w:tc>
      </w:tr>
    </w:tbl>
    <w:p>
      <w:pPr>
        <w:pStyle w:val="72"/>
        <w:ind w:firstLine="480"/>
        <w:rPr>
          <w:rFonts w:ascii="宋体" w:hAnsi="宋体" w:cs="Calibri"/>
          <w:color w:val="000000" w:themeColor="text1"/>
          <w14:textFill>
            <w14:solidFill>
              <w14:schemeClr w14:val="tx1"/>
            </w14:solidFill>
          </w14:textFill>
        </w:rPr>
      </w:pPr>
    </w:p>
    <w:p>
      <w:pPr>
        <w:pStyle w:val="72"/>
        <w:ind w:firstLine="480"/>
        <w:rPr>
          <w:rFonts w:hAnsi="宋体"/>
          <w:color w:val="000000" w:themeColor="text1"/>
          <w14:textFill>
            <w14:solidFill>
              <w14:schemeClr w14:val="tx1"/>
            </w14:solidFill>
          </w14:textFill>
        </w:rPr>
      </w:pPr>
      <w:r>
        <w:rPr>
          <w:rFonts w:ascii="宋体" w:hAnsi="宋体" w:cs="Calibri"/>
          <w:color w:val="000000" w:themeColor="text1"/>
          <w14:textFill>
            <w14:solidFill>
              <w14:schemeClr w14:val="tx1"/>
            </w14:solidFill>
          </w14:textFill>
        </w:rPr>
        <w:t>1.</w:t>
      </w:r>
      <w:r>
        <w:rPr>
          <w:rFonts w:hint="eastAsia" w:hAnsi="宋体"/>
          <w:color w:val="000000" w:themeColor="text1"/>
          <w14:textFill>
            <w14:solidFill>
              <w14:schemeClr w14:val="tx1"/>
            </w14:solidFill>
          </w14:textFill>
        </w:rPr>
        <w:t>所有报价均用人民币表示，报价应是验收时的含增值税总价，此价格包括人工、机具、车辆等所有为完成本项目的含税费用和招标文件规定的其它费用。</w:t>
      </w:r>
    </w:p>
    <w:p>
      <w:pPr>
        <w:numPr>
          <w:ilvl w:val="0"/>
          <w:numId w:val="2"/>
        </w:num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以上表格如不能完全表达清楚投标人认为必要的费用明细，报价人可自行补充。</w:t>
      </w:r>
    </w:p>
    <w:p>
      <w:pPr>
        <w:pStyle w:val="58"/>
        <w:numPr>
          <w:ilvl w:val="0"/>
          <w:numId w:val="2"/>
        </w:numPr>
        <w:adjustRightInd w:val="0"/>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所有报价精确到元（个位），报价精确到角、分等元以后单位（小数点以后）的为无效报价</w:t>
      </w:r>
    </w:p>
    <w:p>
      <w:pPr>
        <w:adjustRightInd w:val="0"/>
        <w:ind w:firstLine="0" w:firstLineChars="0"/>
        <w:rPr>
          <w:rFonts w:ascii="宋体" w:hAnsi="宋体"/>
          <w:color w:val="000000" w:themeColor="text1"/>
          <w14:textFill>
            <w14:solidFill>
              <w14:schemeClr w14:val="tx1"/>
            </w14:solidFill>
          </w14:textFill>
        </w:rPr>
      </w:pPr>
    </w:p>
    <w:p>
      <w:pPr>
        <w:adjustRightInd w:val="0"/>
        <w:ind w:firstLine="600" w:firstLineChars="25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投标人名称：         （盖公章）</w:t>
      </w:r>
    </w:p>
    <w:p>
      <w:pPr>
        <w:ind w:firstLine="719" w:firstLineChars="257"/>
        <w:rPr>
          <w:color w:val="000000" w:themeColor="text1"/>
          <w:sz w:val="28"/>
          <w:szCs w:val="28"/>
          <w14:textFill>
            <w14:solidFill>
              <w14:schemeClr w14:val="tx1"/>
            </w14:solidFill>
          </w14:textFill>
        </w:rPr>
      </w:pPr>
    </w:p>
    <w:p>
      <w:pPr>
        <w:ind w:firstLine="616" w:firstLineChars="257"/>
        <w:rPr>
          <w:color w:val="000000" w:themeColor="text1"/>
          <w14:textFill>
            <w14:solidFill>
              <w14:schemeClr w14:val="tx1"/>
            </w14:solidFill>
          </w14:textFill>
        </w:rPr>
      </w:pPr>
      <w:r>
        <w:rPr>
          <w:rFonts w:hint="eastAsia"/>
          <w:color w:val="000000" w:themeColor="text1"/>
          <w14:textFill>
            <w14:solidFill>
              <w14:schemeClr w14:val="tx1"/>
            </w14:solidFill>
          </w14:textFill>
        </w:rPr>
        <w:t>法定代表人或授权代表（</w:t>
      </w:r>
      <w:r>
        <w:rPr>
          <w:rFonts w:hint="eastAsia"/>
          <w:bCs/>
          <w:color w:val="000000" w:themeColor="text1"/>
          <w14:textFill>
            <w14:solidFill>
              <w14:schemeClr w14:val="tx1"/>
            </w14:solidFill>
          </w14:textFill>
        </w:rPr>
        <w:t>签字或盖章</w:t>
      </w:r>
      <w:r>
        <w:rPr>
          <w:rFonts w:hint="eastAsia"/>
          <w:color w:val="000000" w:themeColor="text1"/>
          <w14:textFill>
            <w14:solidFill>
              <w14:schemeClr w14:val="tx1"/>
            </w14:solidFill>
          </w14:textFill>
        </w:rPr>
        <w:t>）：</w:t>
      </w:r>
    </w:p>
    <w:p>
      <w:pPr>
        <w:ind w:firstLine="616" w:firstLineChars="257"/>
        <w:rPr>
          <w:color w:val="000000" w:themeColor="text1"/>
          <w14:textFill>
            <w14:solidFill>
              <w14:schemeClr w14:val="tx1"/>
            </w14:solidFill>
          </w14:textFill>
        </w:rPr>
      </w:pPr>
    </w:p>
    <w:p>
      <w:pPr>
        <w:ind w:firstLine="600" w:firstLineChars="250"/>
        <w:rPr>
          <w:rFonts w:ascii="宋体" w:hAnsi="宋体"/>
          <w:color w:val="000000" w:themeColor="text1"/>
          <w:sz w:val="28"/>
          <w14:textFill>
            <w14:solidFill>
              <w14:schemeClr w14:val="tx1"/>
            </w14:solidFill>
          </w14:textFill>
        </w:rPr>
        <w:sectPr>
          <w:footerReference r:id="rId13" w:type="default"/>
          <w:pgSz w:w="13607" w:h="16840"/>
          <w:pgMar w:top="1440" w:right="1797" w:bottom="1440" w:left="1797" w:header="851" w:footer="992" w:gutter="0"/>
          <w:pgNumType w:fmt="numberInDash"/>
          <w:cols w:space="720" w:num="1"/>
          <w:docGrid w:linePitch="312" w:charSpace="0"/>
        </w:sectPr>
      </w:pPr>
      <w:r>
        <w:rPr>
          <w:rFonts w:hint="eastAsia" w:ascii="宋体" w:hAnsi="宋体"/>
          <w:color w:val="000000" w:themeColor="text1"/>
          <w14:textFill>
            <w14:solidFill>
              <w14:schemeClr w14:val="tx1"/>
            </w14:solidFill>
          </w14:textFill>
        </w:rPr>
        <w:t xml:space="preserve">日期：     年    月   </w:t>
      </w:r>
    </w:p>
    <w:p>
      <w:pPr>
        <w:pStyle w:val="11"/>
        <w:ind w:firstLine="0" w:firstLineChars="0"/>
        <w:rPr>
          <w:color w:val="000000" w:themeColor="text1"/>
          <w14:textFill>
            <w14:solidFill>
              <w14:schemeClr w14:val="tx1"/>
            </w14:solidFill>
          </w14:textFill>
        </w:rPr>
      </w:pPr>
    </w:p>
    <w:p>
      <w:pPr>
        <w:pStyle w:val="3"/>
        <w:ind w:firstLine="562"/>
        <w:rPr>
          <w:color w:val="000000" w:themeColor="text1"/>
          <w14:textFill>
            <w14:solidFill>
              <w14:schemeClr w14:val="tx1"/>
            </w14:solidFill>
          </w14:textFill>
        </w:rPr>
      </w:pPr>
      <w:r>
        <w:rPr>
          <w:rFonts w:hint="eastAsia"/>
          <w:color w:val="000000" w:themeColor="text1"/>
          <w14:textFill>
            <w14:solidFill>
              <w14:schemeClr w14:val="tx1"/>
            </w14:solidFill>
          </w14:textFill>
        </w:rPr>
        <w:t>六、投标人本项目管理、技术、服务人员情况表</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项目名称：</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1127"/>
        <w:gridCol w:w="1127"/>
        <w:gridCol w:w="1127"/>
        <w:gridCol w:w="1127"/>
        <w:gridCol w:w="1127"/>
        <w:gridCol w:w="1127"/>
        <w:gridCol w:w="1127"/>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126" w:type="dxa"/>
            <w:vMerge w:val="restart"/>
            <w:vAlign w:val="center"/>
          </w:tcPr>
          <w:p>
            <w:pPr>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类别</w:t>
            </w:r>
          </w:p>
        </w:tc>
        <w:tc>
          <w:tcPr>
            <w:tcW w:w="1127" w:type="dxa"/>
            <w:vMerge w:val="restart"/>
            <w:vAlign w:val="center"/>
          </w:tcPr>
          <w:p>
            <w:pPr>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职务</w:t>
            </w:r>
          </w:p>
        </w:tc>
        <w:tc>
          <w:tcPr>
            <w:tcW w:w="1127" w:type="dxa"/>
            <w:vMerge w:val="restart"/>
            <w:vAlign w:val="center"/>
          </w:tcPr>
          <w:p>
            <w:pPr>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姓名</w:t>
            </w:r>
          </w:p>
        </w:tc>
        <w:tc>
          <w:tcPr>
            <w:tcW w:w="1127" w:type="dxa"/>
            <w:vMerge w:val="restart"/>
            <w:vAlign w:val="center"/>
          </w:tcPr>
          <w:p>
            <w:pPr>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职称</w:t>
            </w:r>
          </w:p>
        </w:tc>
        <w:tc>
          <w:tcPr>
            <w:tcW w:w="1127" w:type="dxa"/>
            <w:vMerge w:val="restart"/>
            <w:vAlign w:val="center"/>
          </w:tcPr>
          <w:p>
            <w:pPr>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常住地</w:t>
            </w:r>
          </w:p>
        </w:tc>
        <w:tc>
          <w:tcPr>
            <w:tcW w:w="4509" w:type="dxa"/>
            <w:gridSpan w:val="4"/>
            <w:vAlign w:val="center"/>
          </w:tcPr>
          <w:p>
            <w:pPr>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126" w:type="dxa"/>
            <w:vMerge w:val="continue"/>
            <w:vAlign w:val="center"/>
          </w:tcPr>
          <w:p>
            <w:pPr>
              <w:ind w:firstLine="0" w:firstLineChars="0"/>
              <w:jc w:val="center"/>
              <w:rPr>
                <w:color w:val="000000" w:themeColor="text1"/>
                <w14:textFill>
                  <w14:solidFill>
                    <w14:schemeClr w14:val="tx1"/>
                  </w14:solidFill>
                </w14:textFill>
              </w:rPr>
            </w:pPr>
          </w:p>
        </w:tc>
        <w:tc>
          <w:tcPr>
            <w:tcW w:w="1127" w:type="dxa"/>
            <w:vMerge w:val="continue"/>
            <w:vAlign w:val="center"/>
          </w:tcPr>
          <w:p>
            <w:pPr>
              <w:ind w:firstLine="0" w:firstLineChars="0"/>
              <w:jc w:val="center"/>
              <w:rPr>
                <w:color w:val="000000" w:themeColor="text1"/>
                <w14:textFill>
                  <w14:solidFill>
                    <w14:schemeClr w14:val="tx1"/>
                  </w14:solidFill>
                </w14:textFill>
              </w:rPr>
            </w:pPr>
          </w:p>
        </w:tc>
        <w:tc>
          <w:tcPr>
            <w:tcW w:w="1127" w:type="dxa"/>
            <w:vMerge w:val="continue"/>
            <w:vAlign w:val="center"/>
          </w:tcPr>
          <w:p>
            <w:pPr>
              <w:ind w:firstLine="0" w:firstLineChars="0"/>
              <w:jc w:val="center"/>
              <w:rPr>
                <w:color w:val="000000" w:themeColor="text1"/>
                <w14:textFill>
                  <w14:solidFill>
                    <w14:schemeClr w14:val="tx1"/>
                  </w14:solidFill>
                </w14:textFill>
              </w:rPr>
            </w:pPr>
          </w:p>
        </w:tc>
        <w:tc>
          <w:tcPr>
            <w:tcW w:w="1127" w:type="dxa"/>
            <w:vMerge w:val="continue"/>
            <w:vAlign w:val="center"/>
          </w:tcPr>
          <w:p>
            <w:pPr>
              <w:ind w:firstLine="0" w:firstLineChars="0"/>
              <w:jc w:val="center"/>
              <w:rPr>
                <w:color w:val="000000" w:themeColor="text1"/>
                <w14:textFill>
                  <w14:solidFill>
                    <w14:schemeClr w14:val="tx1"/>
                  </w14:solidFill>
                </w14:textFill>
              </w:rPr>
            </w:pPr>
          </w:p>
        </w:tc>
        <w:tc>
          <w:tcPr>
            <w:tcW w:w="1127" w:type="dxa"/>
            <w:vMerge w:val="continue"/>
            <w:vAlign w:val="center"/>
          </w:tcPr>
          <w:p>
            <w:pPr>
              <w:ind w:firstLine="0" w:firstLineChars="0"/>
              <w:jc w:val="center"/>
              <w:rPr>
                <w:color w:val="000000" w:themeColor="text1"/>
                <w14:textFill>
                  <w14:solidFill>
                    <w14:schemeClr w14:val="tx1"/>
                  </w14:solidFill>
                </w14:textFill>
              </w:rPr>
            </w:pPr>
          </w:p>
        </w:tc>
        <w:tc>
          <w:tcPr>
            <w:tcW w:w="1127" w:type="dxa"/>
            <w:vAlign w:val="center"/>
          </w:tcPr>
          <w:p>
            <w:pPr>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证书</w:t>
            </w:r>
          </w:p>
          <w:p>
            <w:pPr>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名称</w:t>
            </w:r>
          </w:p>
        </w:tc>
        <w:tc>
          <w:tcPr>
            <w:tcW w:w="1127" w:type="dxa"/>
            <w:vAlign w:val="center"/>
          </w:tcPr>
          <w:p>
            <w:pPr>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级别</w:t>
            </w:r>
          </w:p>
        </w:tc>
        <w:tc>
          <w:tcPr>
            <w:tcW w:w="1127" w:type="dxa"/>
            <w:vAlign w:val="center"/>
          </w:tcPr>
          <w:p>
            <w:pPr>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证号</w:t>
            </w:r>
          </w:p>
        </w:tc>
        <w:tc>
          <w:tcPr>
            <w:tcW w:w="1128" w:type="dxa"/>
            <w:vAlign w:val="center"/>
          </w:tcPr>
          <w:p>
            <w:pPr>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126" w:type="dxa"/>
            <w:vMerge w:val="restart"/>
            <w:vAlign w:val="center"/>
          </w:tcPr>
          <w:p>
            <w:pPr>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管理</w:t>
            </w:r>
          </w:p>
          <w:p>
            <w:pPr>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人员</w:t>
            </w:r>
          </w:p>
        </w:tc>
        <w:tc>
          <w:tcPr>
            <w:tcW w:w="1127" w:type="dxa"/>
          </w:tcPr>
          <w:p>
            <w:pPr>
              <w:ind w:firstLine="0" w:firstLineChars="0"/>
              <w:rPr>
                <w:color w:val="000000" w:themeColor="text1"/>
                <w14:textFill>
                  <w14:solidFill>
                    <w14:schemeClr w14:val="tx1"/>
                  </w14:solidFill>
                </w14:textFill>
              </w:rPr>
            </w:pPr>
          </w:p>
        </w:tc>
        <w:tc>
          <w:tcPr>
            <w:tcW w:w="1127" w:type="dxa"/>
          </w:tcPr>
          <w:p>
            <w:pPr>
              <w:ind w:firstLine="0" w:firstLineChars="0"/>
              <w:rPr>
                <w:color w:val="000000" w:themeColor="text1"/>
                <w14:textFill>
                  <w14:solidFill>
                    <w14:schemeClr w14:val="tx1"/>
                  </w14:solidFill>
                </w14:textFill>
              </w:rPr>
            </w:pPr>
          </w:p>
        </w:tc>
        <w:tc>
          <w:tcPr>
            <w:tcW w:w="1127" w:type="dxa"/>
          </w:tcPr>
          <w:p>
            <w:pPr>
              <w:ind w:firstLine="0" w:firstLineChars="0"/>
              <w:rPr>
                <w:color w:val="000000" w:themeColor="text1"/>
                <w14:textFill>
                  <w14:solidFill>
                    <w14:schemeClr w14:val="tx1"/>
                  </w14:solidFill>
                </w14:textFill>
              </w:rPr>
            </w:pPr>
          </w:p>
        </w:tc>
        <w:tc>
          <w:tcPr>
            <w:tcW w:w="1127" w:type="dxa"/>
          </w:tcPr>
          <w:p>
            <w:pPr>
              <w:ind w:firstLine="0" w:firstLineChars="0"/>
              <w:rPr>
                <w:color w:val="000000" w:themeColor="text1"/>
                <w14:textFill>
                  <w14:solidFill>
                    <w14:schemeClr w14:val="tx1"/>
                  </w14:solidFill>
                </w14:textFill>
              </w:rPr>
            </w:pPr>
          </w:p>
        </w:tc>
        <w:tc>
          <w:tcPr>
            <w:tcW w:w="1127" w:type="dxa"/>
          </w:tcPr>
          <w:p>
            <w:pPr>
              <w:ind w:firstLine="0" w:firstLineChars="0"/>
              <w:rPr>
                <w:color w:val="000000" w:themeColor="text1"/>
                <w14:textFill>
                  <w14:solidFill>
                    <w14:schemeClr w14:val="tx1"/>
                  </w14:solidFill>
                </w14:textFill>
              </w:rPr>
            </w:pPr>
          </w:p>
        </w:tc>
        <w:tc>
          <w:tcPr>
            <w:tcW w:w="1127" w:type="dxa"/>
          </w:tcPr>
          <w:p>
            <w:pPr>
              <w:ind w:firstLine="0" w:firstLineChars="0"/>
              <w:rPr>
                <w:color w:val="000000" w:themeColor="text1"/>
                <w14:textFill>
                  <w14:solidFill>
                    <w14:schemeClr w14:val="tx1"/>
                  </w14:solidFill>
                </w14:textFill>
              </w:rPr>
            </w:pPr>
          </w:p>
        </w:tc>
        <w:tc>
          <w:tcPr>
            <w:tcW w:w="1127" w:type="dxa"/>
          </w:tcPr>
          <w:p>
            <w:pPr>
              <w:ind w:firstLine="0" w:firstLineChars="0"/>
              <w:rPr>
                <w:color w:val="000000" w:themeColor="text1"/>
                <w14:textFill>
                  <w14:solidFill>
                    <w14:schemeClr w14:val="tx1"/>
                  </w14:solidFill>
                </w14:textFill>
              </w:rPr>
            </w:pPr>
          </w:p>
        </w:tc>
        <w:tc>
          <w:tcPr>
            <w:tcW w:w="1128" w:type="dxa"/>
          </w:tcPr>
          <w:p>
            <w:pPr>
              <w:ind w:firstLine="0" w:firstLineChars="0"/>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126" w:type="dxa"/>
            <w:vMerge w:val="continue"/>
            <w:vAlign w:val="center"/>
          </w:tcPr>
          <w:p>
            <w:pPr>
              <w:ind w:firstLine="0" w:firstLineChars="0"/>
              <w:jc w:val="center"/>
              <w:rPr>
                <w:color w:val="000000" w:themeColor="text1"/>
                <w14:textFill>
                  <w14:solidFill>
                    <w14:schemeClr w14:val="tx1"/>
                  </w14:solidFill>
                </w14:textFill>
              </w:rPr>
            </w:pPr>
          </w:p>
        </w:tc>
        <w:tc>
          <w:tcPr>
            <w:tcW w:w="1127" w:type="dxa"/>
          </w:tcPr>
          <w:p>
            <w:pPr>
              <w:ind w:firstLine="0" w:firstLineChars="0"/>
              <w:rPr>
                <w:color w:val="000000" w:themeColor="text1"/>
                <w14:textFill>
                  <w14:solidFill>
                    <w14:schemeClr w14:val="tx1"/>
                  </w14:solidFill>
                </w14:textFill>
              </w:rPr>
            </w:pPr>
          </w:p>
        </w:tc>
        <w:tc>
          <w:tcPr>
            <w:tcW w:w="1127" w:type="dxa"/>
          </w:tcPr>
          <w:p>
            <w:pPr>
              <w:ind w:firstLine="0" w:firstLineChars="0"/>
              <w:rPr>
                <w:color w:val="000000" w:themeColor="text1"/>
                <w14:textFill>
                  <w14:solidFill>
                    <w14:schemeClr w14:val="tx1"/>
                  </w14:solidFill>
                </w14:textFill>
              </w:rPr>
            </w:pPr>
          </w:p>
        </w:tc>
        <w:tc>
          <w:tcPr>
            <w:tcW w:w="1127" w:type="dxa"/>
          </w:tcPr>
          <w:p>
            <w:pPr>
              <w:ind w:firstLine="0" w:firstLineChars="0"/>
              <w:rPr>
                <w:color w:val="000000" w:themeColor="text1"/>
                <w14:textFill>
                  <w14:solidFill>
                    <w14:schemeClr w14:val="tx1"/>
                  </w14:solidFill>
                </w14:textFill>
              </w:rPr>
            </w:pPr>
          </w:p>
        </w:tc>
        <w:tc>
          <w:tcPr>
            <w:tcW w:w="1127" w:type="dxa"/>
          </w:tcPr>
          <w:p>
            <w:pPr>
              <w:ind w:firstLine="0" w:firstLineChars="0"/>
              <w:rPr>
                <w:color w:val="000000" w:themeColor="text1"/>
                <w14:textFill>
                  <w14:solidFill>
                    <w14:schemeClr w14:val="tx1"/>
                  </w14:solidFill>
                </w14:textFill>
              </w:rPr>
            </w:pPr>
          </w:p>
        </w:tc>
        <w:tc>
          <w:tcPr>
            <w:tcW w:w="1127" w:type="dxa"/>
          </w:tcPr>
          <w:p>
            <w:pPr>
              <w:ind w:firstLine="0" w:firstLineChars="0"/>
              <w:rPr>
                <w:color w:val="000000" w:themeColor="text1"/>
                <w14:textFill>
                  <w14:solidFill>
                    <w14:schemeClr w14:val="tx1"/>
                  </w14:solidFill>
                </w14:textFill>
              </w:rPr>
            </w:pPr>
          </w:p>
        </w:tc>
        <w:tc>
          <w:tcPr>
            <w:tcW w:w="1127" w:type="dxa"/>
          </w:tcPr>
          <w:p>
            <w:pPr>
              <w:ind w:firstLine="0" w:firstLineChars="0"/>
              <w:rPr>
                <w:color w:val="000000" w:themeColor="text1"/>
                <w14:textFill>
                  <w14:solidFill>
                    <w14:schemeClr w14:val="tx1"/>
                  </w14:solidFill>
                </w14:textFill>
              </w:rPr>
            </w:pPr>
          </w:p>
        </w:tc>
        <w:tc>
          <w:tcPr>
            <w:tcW w:w="1127" w:type="dxa"/>
          </w:tcPr>
          <w:p>
            <w:pPr>
              <w:ind w:firstLine="0" w:firstLineChars="0"/>
              <w:rPr>
                <w:color w:val="000000" w:themeColor="text1"/>
                <w14:textFill>
                  <w14:solidFill>
                    <w14:schemeClr w14:val="tx1"/>
                  </w14:solidFill>
                </w14:textFill>
              </w:rPr>
            </w:pPr>
          </w:p>
        </w:tc>
        <w:tc>
          <w:tcPr>
            <w:tcW w:w="1128" w:type="dxa"/>
          </w:tcPr>
          <w:p>
            <w:pPr>
              <w:ind w:firstLine="0" w:firstLineChars="0"/>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26" w:type="dxa"/>
            <w:vMerge w:val="continue"/>
            <w:vAlign w:val="center"/>
          </w:tcPr>
          <w:p>
            <w:pPr>
              <w:ind w:firstLine="0" w:firstLineChars="0"/>
              <w:jc w:val="center"/>
              <w:rPr>
                <w:color w:val="000000" w:themeColor="text1"/>
                <w14:textFill>
                  <w14:solidFill>
                    <w14:schemeClr w14:val="tx1"/>
                  </w14:solidFill>
                </w14:textFill>
              </w:rPr>
            </w:pPr>
          </w:p>
        </w:tc>
        <w:tc>
          <w:tcPr>
            <w:tcW w:w="1127" w:type="dxa"/>
          </w:tcPr>
          <w:p>
            <w:pPr>
              <w:ind w:firstLine="0" w:firstLineChars="0"/>
              <w:rPr>
                <w:color w:val="000000" w:themeColor="text1"/>
                <w14:textFill>
                  <w14:solidFill>
                    <w14:schemeClr w14:val="tx1"/>
                  </w14:solidFill>
                </w14:textFill>
              </w:rPr>
            </w:pPr>
          </w:p>
        </w:tc>
        <w:tc>
          <w:tcPr>
            <w:tcW w:w="1127" w:type="dxa"/>
          </w:tcPr>
          <w:p>
            <w:pPr>
              <w:ind w:firstLine="0" w:firstLineChars="0"/>
              <w:rPr>
                <w:color w:val="000000" w:themeColor="text1"/>
                <w14:textFill>
                  <w14:solidFill>
                    <w14:schemeClr w14:val="tx1"/>
                  </w14:solidFill>
                </w14:textFill>
              </w:rPr>
            </w:pPr>
          </w:p>
        </w:tc>
        <w:tc>
          <w:tcPr>
            <w:tcW w:w="1127" w:type="dxa"/>
          </w:tcPr>
          <w:p>
            <w:pPr>
              <w:ind w:firstLine="0" w:firstLineChars="0"/>
              <w:rPr>
                <w:color w:val="000000" w:themeColor="text1"/>
                <w14:textFill>
                  <w14:solidFill>
                    <w14:schemeClr w14:val="tx1"/>
                  </w14:solidFill>
                </w14:textFill>
              </w:rPr>
            </w:pPr>
          </w:p>
        </w:tc>
        <w:tc>
          <w:tcPr>
            <w:tcW w:w="1127" w:type="dxa"/>
          </w:tcPr>
          <w:p>
            <w:pPr>
              <w:ind w:firstLine="0" w:firstLineChars="0"/>
              <w:rPr>
                <w:color w:val="000000" w:themeColor="text1"/>
                <w14:textFill>
                  <w14:solidFill>
                    <w14:schemeClr w14:val="tx1"/>
                  </w14:solidFill>
                </w14:textFill>
              </w:rPr>
            </w:pPr>
          </w:p>
        </w:tc>
        <w:tc>
          <w:tcPr>
            <w:tcW w:w="1127" w:type="dxa"/>
          </w:tcPr>
          <w:p>
            <w:pPr>
              <w:ind w:firstLine="0" w:firstLineChars="0"/>
              <w:rPr>
                <w:color w:val="000000" w:themeColor="text1"/>
                <w14:textFill>
                  <w14:solidFill>
                    <w14:schemeClr w14:val="tx1"/>
                  </w14:solidFill>
                </w14:textFill>
              </w:rPr>
            </w:pPr>
          </w:p>
        </w:tc>
        <w:tc>
          <w:tcPr>
            <w:tcW w:w="1127" w:type="dxa"/>
          </w:tcPr>
          <w:p>
            <w:pPr>
              <w:ind w:firstLine="0" w:firstLineChars="0"/>
              <w:rPr>
                <w:color w:val="000000" w:themeColor="text1"/>
                <w14:textFill>
                  <w14:solidFill>
                    <w14:schemeClr w14:val="tx1"/>
                  </w14:solidFill>
                </w14:textFill>
              </w:rPr>
            </w:pPr>
          </w:p>
        </w:tc>
        <w:tc>
          <w:tcPr>
            <w:tcW w:w="1127" w:type="dxa"/>
          </w:tcPr>
          <w:p>
            <w:pPr>
              <w:ind w:firstLine="0" w:firstLineChars="0"/>
              <w:rPr>
                <w:color w:val="000000" w:themeColor="text1"/>
                <w14:textFill>
                  <w14:solidFill>
                    <w14:schemeClr w14:val="tx1"/>
                  </w14:solidFill>
                </w14:textFill>
              </w:rPr>
            </w:pPr>
          </w:p>
        </w:tc>
        <w:tc>
          <w:tcPr>
            <w:tcW w:w="1128" w:type="dxa"/>
          </w:tcPr>
          <w:p>
            <w:pPr>
              <w:ind w:firstLine="0" w:firstLineChars="0"/>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126" w:type="dxa"/>
            <w:vMerge w:val="restart"/>
            <w:vAlign w:val="center"/>
          </w:tcPr>
          <w:p>
            <w:pPr>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技术</w:t>
            </w:r>
          </w:p>
          <w:p>
            <w:pPr>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人员</w:t>
            </w:r>
          </w:p>
        </w:tc>
        <w:tc>
          <w:tcPr>
            <w:tcW w:w="1127" w:type="dxa"/>
          </w:tcPr>
          <w:p>
            <w:pPr>
              <w:ind w:firstLine="0" w:firstLineChars="0"/>
              <w:rPr>
                <w:color w:val="000000" w:themeColor="text1"/>
                <w14:textFill>
                  <w14:solidFill>
                    <w14:schemeClr w14:val="tx1"/>
                  </w14:solidFill>
                </w14:textFill>
              </w:rPr>
            </w:pPr>
          </w:p>
        </w:tc>
        <w:tc>
          <w:tcPr>
            <w:tcW w:w="1127" w:type="dxa"/>
          </w:tcPr>
          <w:p>
            <w:pPr>
              <w:ind w:firstLine="0" w:firstLineChars="0"/>
              <w:rPr>
                <w:color w:val="000000" w:themeColor="text1"/>
                <w14:textFill>
                  <w14:solidFill>
                    <w14:schemeClr w14:val="tx1"/>
                  </w14:solidFill>
                </w14:textFill>
              </w:rPr>
            </w:pPr>
          </w:p>
        </w:tc>
        <w:tc>
          <w:tcPr>
            <w:tcW w:w="1127" w:type="dxa"/>
          </w:tcPr>
          <w:p>
            <w:pPr>
              <w:ind w:firstLine="0" w:firstLineChars="0"/>
              <w:rPr>
                <w:color w:val="000000" w:themeColor="text1"/>
                <w14:textFill>
                  <w14:solidFill>
                    <w14:schemeClr w14:val="tx1"/>
                  </w14:solidFill>
                </w14:textFill>
              </w:rPr>
            </w:pPr>
          </w:p>
        </w:tc>
        <w:tc>
          <w:tcPr>
            <w:tcW w:w="1127" w:type="dxa"/>
          </w:tcPr>
          <w:p>
            <w:pPr>
              <w:ind w:firstLine="0" w:firstLineChars="0"/>
              <w:rPr>
                <w:color w:val="000000" w:themeColor="text1"/>
                <w14:textFill>
                  <w14:solidFill>
                    <w14:schemeClr w14:val="tx1"/>
                  </w14:solidFill>
                </w14:textFill>
              </w:rPr>
            </w:pPr>
          </w:p>
        </w:tc>
        <w:tc>
          <w:tcPr>
            <w:tcW w:w="1127" w:type="dxa"/>
          </w:tcPr>
          <w:p>
            <w:pPr>
              <w:ind w:firstLine="0" w:firstLineChars="0"/>
              <w:rPr>
                <w:color w:val="000000" w:themeColor="text1"/>
                <w14:textFill>
                  <w14:solidFill>
                    <w14:schemeClr w14:val="tx1"/>
                  </w14:solidFill>
                </w14:textFill>
              </w:rPr>
            </w:pPr>
          </w:p>
        </w:tc>
        <w:tc>
          <w:tcPr>
            <w:tcW w:w="1127" w:type="dxa"/>
          </w:tcPr>
          <w:p>
            <w:pPr>
              <w:ind w:firstLine="0" w:firstLineChars="0"/>
              <w:rPr>
                <w:color w:val="000000" w:themeColor="text1"/>
                <w14:textFill>
                  <w14:solidFill>
                    <w14:schemeClr w14:val="tx1"/>
                  </w14:solidFill>
                </w14:textFill>
              </w:rPr>
            </w:pPr>
          </w:p>
        </w:tc>
        <w:tc>
          <w:tcPr>
            <w:tcW w:w="1127" w:type="dxa"/>
          </w:tcPr>
          <w:p>
            <w:pPr>
              <w:ind w:firstLine="0" w:firstLineChars="0"/>
              <w:rPr>
                <w:color w:val="000000" w:themeColor="text1"/>
                <w14:textFill>
                  <w14:solidFill>
                    <w14:schemeClr w14:val="tx1"/>
                  </w14:solidFill>
                </w14:textFill>
              </w:rPr>
            </w:pPr>
          </w:p>
        </w:tc>
        <w:tc>
          <w:tcPr>
            <w:tcW w:w="1128" w:type="dxa"/>
          </w:tcPr>
          <w:p>
            <w:pPr>
              <w:ind w:firstLine="0" w:firstLineChars="0"/>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126" w:type="dxa"/>
            <w:vMerge w:val="continue"/>
            <w:vAlign w:val="center"/>
          </w:tcPr>
          <w:p>
            <w:pPr>
              <w:ind w:firstLine="0" w:firstLineChars="0"/>
              <w:jc w:val="center"/>
              <w:rPr>
                <w:color w:val="000000" w:themeColor="text1"/>
                <w14:textFill>
                  <w14:solidFill>
                    <w14:schemeClr w14:val="tx1"/>
                  </w14:solidFill>
                </w14:textFill>
              </w:rPr>
            </w:pPr>
          </w:p>
        </w:tc>
        <w:tc>
          <w:tcPr>
            <w:tcW w:w="1127" w:type="dxa"/>
          </w:tcPr>
          <w:p>
            <w:pPr>
              <w:ind w:firstLine="0" w:firstLineChars="0"/>
              <w:rPr>
                <w:color w:val="000000" w:themeColor="text1"/>
                <w14:textFill>
                  <w14:solidFill>
                    <w14:schemeClr w14:val="tx1"/>
                  </w14:solidFill>
                </w14:textFill>
              </w:rPr>
            </w:pPr>
          </w:p>
        </w:tc>
        <w:tc>
          <w:tcPr>
            <w:tcW w:w="1127" w:type="dxa"/>
          </w:tcPr>
          <w:p>
            <w:pPr>
              <w:ind w:firstLine="0" w:firstLineChars="0"/>
              <w:rPr>
                <w:color w:val="000000" w:themeColor="text1"/>
                <w14:textFill>
                  <w14:solidFill>
                    <w14:schemeClr w14:val="tx1"/>
                  </w14:solidFill>
                </w14:textFill>
              </w:rPr>
            </w:pPr>
          </w:p>
        </w:tc>
        <w:tc>
          <w:tcPr>
            <w:tcW w:w="1127" w:type="dxa"/>
          </w:tcPr>
          <w:p>
            <w:pPr>
              <w:ind w:firstLine="0" w:firstLineChars="0"/>
              <w:rPr>
                <w:color w:val="000000" w:themeColor="text1"/>
                <w14:textFill>
                  <w14:solidFill>
                    <w14:schemeClr w14:val="tx1"/>
                  </w14:solidFill>
                </w14:textFill>
              </w:rPr>
            </w:pPr>
          </w:p>
        </w:tc>
        <w:tc>
          <w:tcPr>
            <w:tcW w:w="1127" w:type="dxa"/>
          </w:tcPr>
          <w:p>
            <w:pPr>
              <w:ind w:firstLine="0" w:firstLineChars="0"/>
              <w:rPr>
                <w:color w:val="000000" w:themeColor="text1"/>
                <w14:textFill>
                  <w14:solidFill>
                    <w14:schemeClr w14:val="tx1"/>
                  </w14:solidFill>
                </w14:textFill>
              </w:rPr>
            </w:pPr>
          </w:p>
        </w:tc>
        <w:tc>
          <w:tcPr>
            <w:tcW w:w="1127" w:type="dxa"/>
          </w:tcPr>
          <w:p>
            <w:pPr>
              <w:ind w:firstLine="0" w:firstLineChars="0"/>
              <w:rPr>
                <w:color w:val="000000" w:themeColor="text1"/>
                <w14:textFill>
                  <w14:solidFill>
                    <w14:schemeClr w14:val="tx1"/>
                  </w14:solidFill>
                </w14:textFill>
              </w:rPr>
            </w:pPr>
          </w:p>
        </w:tc>
        <w:tc>
          <w:tcPr>
            <w:tcW w:w="1127" w:type="dxa"/>
          </w:tcPr>
          <w:p>
            <w:pPr>
              <w:ind w:firstLine="0" w:firstLineChars="0"/>
              <w:rPr>
                <w:color w:val="000000" w:themeColor="text1"/>
                <w14:textFill>
                  <w14:solidFill>
                    <w14:schemeClr w14:val="tx1"/>
                  </w14:solidFill>
                </w14:textFill>
              </w:rPr>
            </w:pPr>
          </w:p>
        </w:tc>
        <w:tc>
          <w:tcPr>
            <w:tcW w:w="1127" w:type="dxa"/>
          </w:tcPr>
          <w:p>
            <w:pPr>
              <w:ind w:firstLine="0" w:firstLineChars="0"/>
              <w:rPr>
                <w:color w:val="000000" w:themeColor="text1"/>
                <w14:textFill>
                  <w14:solidFill>
                    <w14:schemeClr w14:val="tx1"/>
                  </w14:solidFill>
                </w14:textFill>
              </w:rPr>
            </w:pPr>
          </w:p>
        </w:tc>
        <w:tc>
          <w:tcPr>
            <w:tcW w:w="1128" w:type="dxa"/>
          </w:tcPr>
          <w:p>
            <w:pPr>
              <w:ind w:firstLine="0" w:firstLineChars="0"/>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126" w:type="dxa"/>
            <w:vMerge w:val="continue"/>
            <w:vAlign w:val="center"/>
          </w:tcPr>
          <w:p>
            <w:pPr>
              <w:ind w:firstLine="0" w:firstLineChars="0"/>
              <w:jc w:val="center"/>
              <w:rPr>
                <w:color w:val="000000" w:themeColor="text1"/>
                <w14:textFill>
                  <w14:solidFill>
                    <w14:schemeClr w14:val="tx1"/>
                  </w14:solidFill>
                </w14:textFill>
              </w:rPr>
            </w:pPr>
          </w:p>
        </w:tc>
        <w:tc>
          <w:tcPr>
            <w:tcW w:w="1127" w:type="dxa"/>
          </w:tcPr>
          <w:p>
            <w:pPr>
              <w:ind w:firstLine="0" w:firstLineChars="0"/>
              <w:rPr>
                <w:color w:val="000000" w:themeColor="text1"/>
                <w14:textFill>
                  <w14:solidFill>
                    <w14:schemeClr w14:val="tx1"/>
                  </w14:solidFill>
                </w14:textFill>
              </w:rPr>
            </w:pPr>
          </w:p>
        </w:tc>
        <w:tc>
          <w:tcPr>
            <w:tcW w:w="1127" w:type="dxa"/>
          </w:tcPr>
          <w:p>
            <w:pPr>
              <w:ind w:firstLine="0" w:firstLineChars="0"/>
              <w:rPr>
                <w:color w:val="000000" w:themeColor="text1"/>
                <w14:textFill>
                  <w14:solidFill>
                    <w14:schemeClr w14:val="tx1"/>
                  </w14:solidFill>
                </w14:textFill>
              </w:rPr>
            </w:pPr>
          </w:p>
        </w:tc>
        <w:tc>
          <w:tcPr>
            <w:tcW w:w="1127" w:type="dxa"/>
          </w:tcPr>
          <w:p>
            <w:pPr>
              <w:ind w:firstLine="0" w:firstLineChars="0"/>
              <w:rPr>
                <w:color w:val="000000" w:themeColor="text1"/>
                <w14:textFill>
                  <w14:solidFill>
                    <w14:schemeClr w14:val="tx1"/>
                  </w14:solidFill>
                </w14:textFill>
              </w:rPr>
            </w:pPr>
          </w:p>
        </w:tc>
        <w:tc>
          <w:tcPr>
            <w:tcW w:w="1127" w:type="dxa"/>
          </w:tcPr>
          <w:p>
            <w:pPr>
              <w:ind w:firstLine="0" w:firstLineChars="0"/>
              <w:rPr>
                <w:color w:val="000000" w:themeColor="text1"/>
                <w14:textFill>
                  <w14:solidFill>
                    <w14:schemeClr w14:val="tx1"/>
                  </w14:solidFill>
                </w14:textFill>
              </w:rPr>
            </w:pPr>
          </w:p>
        </w:tc>
        <w:tc>
          <w:tcPr>
            <w:tcW w:w="1127" w:type="dxa"/>
          </w:tcPr>
          <w:p>
            <w:pPr>
              <w:ind w:firstLine="0" w:firstLineChars="0"/>
              <w:rPr>
                <w:color w:val="000000" w:themeColor="text1"/>
                <w14:textFill>
                  <w14:solidFill>
                    <w14:schemeClr w14:val="tx1"/>
                  </w14:solidFill>
                </w14:textFill>
              </w:rPr>
            </w:pPr>
          </w:p>
        </w:tc>
        <w:tc>
          <w:tcPr>
            <w:tcW w:w="1127" w:type="dxa"/>
          </w:tcPr>
          <w:p>
            <w:pPr>
              <w:ind w:firstLine="0" w:firstLineChars="0"/>
              <w:rPr>
                <w:color w:val="000000" w:themeColor="text1"/>
                <w14:textFill>
                  <w14:solidFill>
                    <w14:schemeClr w14:val="tx1"/>
                  </w14:solidFill>
                </w14:textFill>
              </w:rPr>
            </w:pPr>
          </w:p>
        </w:tc>
        <w:tc>
          <w:tcPr>
            <w:tcW w:w="1127" w:type="dxa"/>
          </w:tcPr>
          <w:p>
            <w:pPr>
              <w:ind w:firstLine="0" w:firstLineChars="0"/>
              <w:rPr>
                <w:color w:val="000000" w:themeColor="text1"/>
                <w14:textFill>
                  <w14:solidFill>
                    <w14:schemeClr w14:val="tx1"/>
                  </w14:solidFill>
                </w14:textFill>
              </w:rPr>
            </w:pPr>
          </w:p>
        </w:tc>
        <w:tc>
          <w:tcPr>
            <w:tcW w:w="1128" w:type="dxa"/>
          </w:tcPr>
          <w:p>
            <w:pPr>
              <w:ind w:firstLine="0" w:firstLineChars="0"/>
              <w:rPr>
                <w:color w:val="000000" w:themeColor="text1"/>
                <w14:textFill>
                  <w14:solidFill>
                    <w14:schemeClr w14:val="tx1"/>
                  </w14:solidFill>
                </w14:textFill>
              </w:rPr>
            </w:pPr>
          </w:p>
        </w:tc>
      </w:tr>
    </w:tbl>
    <w:p>
      <w:pPr>
        <w:ind w:firstLine="480"/>
        <w:rPr>
          <w:rFonts w:ascii="宋体" w:hAnsi="宋体"/>
          <w:color w:val="000000" w:themeColor="text1"/>
          <w14:textFill>
            <w14:solidFill>
              <w14:schemeClr w14:val="tx1"/>
            </w14:solidFill>
          </w14:textFill>
        </w:rPr>
      </w:pPr>
    </w:p>
    <w:p>
      <w:pPr>
        <w:ind w:firstLine="480"/>
        <w:rPr>
          <w:rFonts w:ascii="宋体" w:hAnsi="宋体"/>
          <w:color w:val="000000" w:themeColor="text1"/>
          <w14:textFill>
            <w14:solidFill>
              <w14:schemeClr w14:val="tx1"/>
            </w14:solidFill>
          </w14:textFill>
        </w:rPr>
      </w:pPr>
    </w:p>
    <w:p>
      <w:pPr>
        <w:ind w:firstLine="480"/>
        <w:rPr>
          <w:rFonts w:ascii="宋体" w:hAnsi="宋体"/>
          <w:color w:val="000000" w:themeColor="text1"/>
          <w14:textFill>
            <w14:solidFill>
              <w14:schemeClr w14:val="tx1"/>
            </w14:solidFill>
          </w14:textFill>
        </w:rPr>
      </w:pP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投标人名称：XXX（盖单位公章）</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法定代表人或授权代表（</w:t>
      </w:r>
      <w:r>
        <w:rPr>
          <w:rFonts w:hint="eastAsia"/>
          <w:bCs/>
          <w:color w:val="000000" w:themeColor="text1"/>
          <w14:textFill>
            <w14:solidFill>
              <w14:schemeClr w14:val="tx1"/>
            </w14:solidFill>
          </w14:textFill>
        </w:rPr>
        <w:t>签字或盖章</w:t>
      </w:r>
      <w:r>
        <w:rPr>
          <w:rFonts w:hint="eastAsia"/>
          <w:color w:val="000000" w:themeColor="text1"/>
          <w14:textFill>
            <w14:solidFill>
              <w14:schemeClr w14:val="tx1"/>
            </w14:solidFill>
          </w14:textFill>
        </w:rPr>
        <w:t>）：XXX</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日      期</w:t>
      </w:r>
      <w:r>
        <w:rPr>
          <w:rFonts w:hint="eastAsia" w:ascii="宋体"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XXX</w:t>
      </w:r>
    </w:p>
    <w:p>
      <w:pPr>
        <w:ind w:firstLine="640"/>
        <w:rPr>
          <w:color w:val="000000" w:themeColor="text1"/>
          <w:sz w:val="32"/>
          <w:szCs w:val="32"/>
          <w14:textFill>
            <w14:solidFill>
              <w14:schemeClr w14:val="tx1"/>
            </w14:solidFill>
          </w14:textFill>
        </w:rPr>
      </w:pPr>
    </w:p>
    <w:p>
      <w:pPr>
        <w:pStyle w:val="11"/>
        <w:ind w:firstLine="640"/>
        <w:rPr>
          <w:color w:val="000000" w:themeColor="text1"/>
          <w14:textFill>
            <w14:solidFill>
              <w14:schemeClr w14:val="tx1"/>
            </w14:solidFill>
          </w14:textFill>
        </w:rPr>
      </w:pPr>
    </w:p>
    <w:p>
      <w:pPr>
        <w:pStyle w:val="11"/>
        <w:ind w:firstLine="640"/>
        <w:rPr>
          <w:color w:val="000000" w:themeColor="text1"/>
          <w14:textFill>
            <w14:solidFill>
              <w14:schemeClr w14:val="tx1"/>
            </w14:solidFill>
          </w14:textFill>
        </w:rPr>
      </w:pPr>
    </w:p>
    <w:p>
      <w:pPr>
        <w:tabs>
          <w:tab w:val="left" w:pos="460"/>
          <w:tab w:val="center" w:pos="4156"/>
        </w:tabs>
        <w:spacing w:line="360" w:lineRule="auto"/>
        <w:ind w:firstLine="480"/>
        <w:jc w:val="center"/>
        <w:rPr>
          <w:rFonts w:ascii="宋体" w:hAnsi="Arial"/>
          <w:bCs/>
          <w:color w:val="000000" w:themeColor="text1"/>
          <w:sz w:val="36"/>
          <w:szCs w:val="32"/>
          <w14:textFill>
            <w14:solidFill>
              <w14:schemeClr w14:val="tx1"/>
            </w14:solidFill>
          </w14:textFill>
        </w:rPr>
      </w:pPr>
      <w:r>
        <w:rPr>
          <w:rFonts w:hint="eastAsia"/>
          <w:color w:val="000000" w:themeColor="text1"/>
          <w14:textFill>
            <w14:solidFill>
              <w14:schemeClr w14:val="tx1"/>
            </w14:solidFill>
          </w14:textFill>
        </w:rPr>
        <w:br w:type="page"/>
      </w:r>
      <w:bookmarkStart w:id="126" w:name="_Toc96446262"/>
    </w:p>
    <w:p>
      <w:pPr>
        <w:spacing w:line="440" w:lineRule="exact"/>
        <w:ind w:firstLine="0" w:firstLineChars="0"/>
        <w:rPr>
          <w:rFonts w:ascii="宋体" w:hAnsi="Arial"/>
          <w:bCs/>
          <w:color w:val="000000" w:themeColor="text1"/>
          <w:sz w:val="36"/>
          <w:szCs w:val="32"/>
          <w14:textFill>
            <w14:solidFill>
              <w14:schemeClr w14:val="tx1"/>
            </w14:solidFill>
          </w14:textFill>
        </w:rPr>
      </w:pPr>
    </w:p>
    <w:p>
      <w:pPr>
        <w:pStyle w:val="2"/>
        <w:keepNext w:val="0"/>
        <w:keepLines w:val="0"/>
        <w:spacing w:before="0" w:after="0" w:line="440" w:lineRule="exact"/>
        <w:ind w:firstLine="723"/>
        <w:rPr>
          <w:rFonts w:ascii="宋体" w:hAnsi="Arial"/>
          <w:bCs w:val="0"/>
          <w:color w:val="000000" w:themeColor="text1"/>
          <w:kern w:val="2"/>
          <w:sz w:val="36"/>
          <w:szCs w:val="32"/>
          <w14:textFill>
            <w14:solidFill>
              <w14:schemeClr w14:val="tx1"/>
            </w14:solidFill>
          </w14:textFill>
        </w:rPr>
      </w:pPr>
      <w:r>
        <w:rPr>
          <w:rFonts w:hint="eastAsia" w:ascii="宋体" w:hAnsi="Arial"/>
          <w:bCs w:val="0"/>
          <w:color w:val="000000" w:themeColor="text1"/>
          <w:kern w:val="2"/>
          <w:sz w:val="36"/>
          <w:szCs w:val="32"/>
          <w14:textFill>
            <w14:solidFill>
              <w14:schemeClr w14:val="tx1"/>
            </w14:solidFill>
          </w14:textFill>
        </w:rPr>
        <w:t>第六章  评审方法</w:t>
      </w:r>
      <w:bookmarkEnd w:id="126"/>
    </w:p>
    <w:p>
      <w:pPr>
        <w:ind w:firstLine="480"/>
        <w:rPr>
          <w:color w:val="000000" w:themeColor="text1"/>
          <w14:textFill>
            <w14:solidFill>
              <w14:schemeClr w14:val="tx1"/>
            </w14:solidFill>
          </w14:textFill>
        </w:rPr>
      </w:pPr>
      <w:bookmarkStart w:id="127" w:name="_Toc101338358"/>
      <w:bookmarkStart w:id="128" w:name="_Toc209847065"/>
      <w:bookmarkStart w:id="129" w:name="_Toc101174146"/>
      <w:bookmarkStart w:id="130" w:name="_Toc101250640"/>
      <w:bookmarkStart w:id="131" w:name="_Toc430773924"/>
    </w:p>
    <w:p>
      <w:pPr>
        <w:pStyle w:val="3"/>
        <w:keepNext w:val="0"/>
        <w:keepLines w:val="0"/>
        <w:spacing w:before="0" w:after="0" w:line="500" w:lineRule="exact"/>
        <w:ind w:firstLine="472" w:firstLineChars="196"/>
        <w:jc w:val="left"/>
        <w:rPr>
          <w:rFonts w:ascii="Times New Roman" w:hAnsi="Times New Roman"/>
          <w:color w:val="000000" w:themeColor="text1"/>
          <w:sz w:val="24"/>
          <w:lang w:val="zh-CN"/>
          <w14:textFill>
            <w14:solidFill>
              <w14:schemeClr w14:val="tx1"/>
            </w14:solidFill>
          </w14:textFill>
        </w:rPr>
      </w:pPr>
      <w:bookmarkStart w:id="132" w:name="_Toc96446263"/>
      <w:r>
        <w:rPr>
          <w:rFonts w:hint="eastAsia" w:ascii="Times New Roman" w:hAnsi="Times New Roman"/>
          <w:color w:val="000000" w:themeColor="text1"/>
          <w:sz w:val="24"/>
          <w:lang w:val="zh-CN"/>
          <w14:textFill>
            <w14:solidFill>
              <w14:schemeClr w14:val="tx1"/>
            </w14:solidFill>
          </w14:textFill>
        </w:rPr>
        <w:t>1.总则</w:t>
      </w:r>
      <w:bookmarkEnd w:id="132"/>
    </w:p>
    <w:p>
      <w:pPr>
        <w:ind w:firstLine="480"/>
        <w:rPr>
          <w:color w:val="000000" w:themeColor="text1"/>
          <w14:textFill>
            <w14:solidFill>
              <w14:schemeClr w14:val="tx1"/>
            </w14:solidFill>
          </w14:textFill>
        </w:rPr>
      </w:pPr>
      <w:bookmarkStart w:id="133" w:name="_Toc96446264"/>
      <w:r>
        <w:rPr>
          <w:rFonts w:hint="eastAsia"/>
          <w:color w:val="000000" w:themeColor="text1"/>
          <w14:textFill>
            <w14:solidFill>
              <w14:schemeClr w14:val="tx1"/>
            </w14:solidFill>
          </w14:textFill>
        </w:rPr>
        <w:t>1.1结合本招标项目特点制定本评审方法。</w:t>
      </w:r>
      <w:bookmarkEnd w:id="133"/>
    </w:p>
    <w:p>
      <w:pPr>
        <w:ind w:firstLine="480"/>
        <w:rPr>
          <w:color w:val="000000" w:themeColor="text1"/>
          <w14:textFill>
            <w14:solidFill>
              <w14:schemeClr w14:val="tx1"/>
            </w14:solidFill>
          </w14:textFill>
        </w:rPr>
      </w:pPr>
      <w:bookmarkStart w:id="134" w:name="_Toc96446265"/>
      <w:r>
        <w:rPr>
          <w:rFonts w:hint="eastAsia"/>
          <w:color w:val="000000" w:themeColor="text1"/>
          <w14:textFill>
            <w14:solidFill>
              <w14:schemeClr w14:val="tx1"/>
            </w14:solidFill>
          </w14:textFill>
        </w:rPr>
        <w:t>1.2 评审工作由招标人负责组织，</w:t>
      </w:r>
      <w:bookmarkEnd w:id="134"/>
      <w:r>
        <w:rPr>
          <w:rFonts w:hint="eastAsia"/>
          <w:color w:val="000000" w:themeColor="text1"/>
          <w14:textFill>
            <w14:solidFill>
              <w14:schemeClr w14:val="tx1"/>
            </w14:solidFill>
          </w14:textFill>
        </w:rPr>
        <w:t>具体评审由招标人依法组建的评审小组负责。</w:t>
      </w:r>
    </w:p>
    <w:p>
      <w:pPr>
        <w:ind w:firstLine="480"/>
        <w:rPr>
          <w:color w:val="000000" w:themeColor="text1"/>
          <w14:textFill>
            <w14:solidFill>
              <w14:schemeClr w14:val="tx1"/>
            </w14:solidFill>
          </w14:textFill>
        </w:rPr>
      </w:pPr>
      <w:bookmarkStart w:id="135" w:name="_Toc96446266"/>
      <w:r>
        <w:rPr>
          <w:rFonts w:hint="eastAsia"/>
          <w:color w:val="000000" w:themeColor="text1"/>
          <w14:textFill>
            <w14:solidFill>
              <w14:schemeClr w14:val="tx1"/>
            </w14:solidFill>
          </w14:textFill>
        </w:rPr>
        <w:t>1.3 评审工作应遵循公平、公正、科学及择优的原则，并以相同的评审程序和标准对待所有的投标人。</w:t>
      </w:r>
      <w:bookmarkEnd w:id="135"/>
    </w:p>
    <w:p>
      <w:pPr>
        <w:ind w:firstLine="480"/>
        <w:rPr>
          <w:color w:val="000000" w:themeColor="text1"/>
          <w14:textFill>
            <w14:solidFill>
              <w14:schemeClr w14:val="tx1"/>
            </w14:solidFill>
          </w14:textFill>
        </w:rPr>
      </w:pPr>
      <w:bookmarkStart w:id="136" w:name="_Toc96446267"/>
      <w:r>
        <w:rPr>
          <w:rFonts w:hint="eastAsia"/>
          <w:color w:val="000000" w:themeColor="text1"/>
          <w14:textFill>
            <w14:solidFill>
              <w14:schemeClr w14:val="tx1"/>
            </w14:solidFill>
          </w14:textFill>
        </w:rPr>
        <w:t>1.4 评审小组按照评审文件规定的评审程序、评分方法和标准进行评审，并独立履行下列职责：</w:t>
      </w:r>
      <w:bookmarkEnd w:id="136"/>
    </w:p>
    <w:p>
      <w:pPr>
        <w:ind w:firstLine="480"/>
        <w:rPr>
          <w:color w:val="000000" w:themeColor="text1"/>
          <w14:textFill>
            <w14:solidFill>
              <w14:schemeClr w14:val="tx1"/>
            </w14:solidFill>
          </w14:textFill>
        </w:rPr>
      </w:pPr>
      <w:bookmarkStart w:id="137" w:name="_Toc96446268"/>
      <w:r>
        <w:rPr>
          <w:rFonts w:hint="eastAsia"/>
          <w:color w:val="000000" w:themeColor="text1"/>
          <w14:textFill>
            <w14:solidFill>
              <w14:schemeClr w14:val="tx1"/>
            </w14:solidFill>
          </w14:textFill>
        </w:rPr>
        <w:t>（一）熟悉和理解评审文件，确定评审文件内容是否违反国家有关强制性规定或者评审文件存在歧义、重大缺陷，根据需要书面要求评审人对评审文件作出解释；</w:t>
      </w:r>
      <w:bookmarkEnd w:id="137"/>
    </w:p>
    <w:p>
      <w:pPr>
        <w:ind w:firstLine="480"/>
        <w:rPr>
          <w:color w:val="000000" w:themeColor="text1"/>
          <w14:textFill>
            <w14:solidFill>
              <w14:schemeClr w14:val="tx1"/>
            </w14:solidFill>
          </w14:textFill>
        </w:rPr>
      </w:pPr>
      <w:bookmarkStart w:id="138" w:name="_Toc96446269"/>
      <w:r>
        <w:rPr>
          <w:rFonts w:hint="eastAsia"/>
          <w:color w:val="000000" w:themeColor="text1"/>
          <w14:textFill>
            <w14:solidFill>
              <w14:schemeClr w14:val="tx1"/>
            </w14:solidFill>
          </w14:textFill>
        </w:rPr>
        <w:t>（二）审查投标人响应文件是否满足评审文件要求，并作出公正评价；</w:t>
      </w:r>
      <w:bookmarkEnd w:id="138"/>
    </w:p>
    <w:p>
      <w:pPr>
        <w:ind w:firstLine="480"/>
        <w:rPr>
          <w:color w:val="000000" w:themeColor="text1"/>
          <w14:textFill>
            <w14:solidFill>
              <w14:schemeClr w14:val="tx1"/>
            </w14:solidFill>
          </w14:textFill>
        </w:rPr>
      </w:pPr>
      <w:bookmarkStart w:id="139" w:name="_Toc96446270"/>
      <w:r>
        <w:rPr>
          <w:rFonts w:hint="eastAsia"/>
          <w:color w:val="000000" w:themeColor="text1"/>
          <w14:textFill>
            <w14:solidFill>
              <w14:schemeClr w14:val="tx1"/>
            </w14:solidFill>
          </w14:textFill>
        </w:rPr>
        <w:t>（三）根据需要要求投标人对响应文件中含义不明确、同类问题表述不一致或者有明显文字和计算错误的内容等作出必要的澄清、说明或者更正；</w:t>
      </w:r>
      <w:bookmarkEnd w:id="139"/>
    </w:p>
    <w:p>
      <w:pPr>
        <w:ind w:firstLine="480"/>
        <w:rPr>
          <w:color w:val="000000" w:themeColor="text1"/>
          <w14:textFill>
            <w14:solidFill>
              <w14:schemeClr w14:val="tx1"/>
            </w14:solidFill>
          </w14:textFill>
        </w:rPr>
      </w:pPr>
      <w:bookmarkStart w:id="140" w:name="_Toc96446271"/>
      <w:r>
        <w:rPr>
          <w:rFonts w:hint="eastAsia"/>
          <w:color w:val="000000" w:themeColor="text1"/>
          <w14:textFill>
            <w14:solidFill>
              <w14:schemeClr w14:val="tx1"/>
            </w14:solidFill>
          </w14:textFill>
        </w:rPr>
        <w:t>（四）推荐成交投标人，或者受招标人委托确定成交投标人；</w:t>
      </w:r>
      <w:bookmarkEnd w:id="140"/>
    </w:p>
    <w:p>
      <w:pPr>
        <w:ind w:firstLine="480"/>
        <w:rPr>
          <w:color w:val="000000" w:themeColor="text1"/>
          <w14:textFill>
            <w14:solidFill>
              <w14:schemeClr w14:val="tx1"/>
            </w14:solidFill>
          </w14:textFill>
        </w:rPr>
      </w:pPr>
      <w:bookmarkStart w:id="141" w:name="_Toc96446272"/>
      <w:r>
        <w:rPr>
          <w:rFonts w:hint="eastAsia"/>
          <w:color w:val="000000" w:themeColor="text1"/>
          <w14:textFill>
            <w14:solidFill>
              <w14:schemeClr w14:val="tx1"/>
            </w14:solidFill>
          </w14:textFill>
        </w:rPr>
        <w:t>（五）起草评审报告并进行签署；</w:t>
      </w:r>
      <w:bookmarkEnd w:id="141"/>
    </w:p>
    <w:p>
      <w:pPr>
        <w:ind w:firstLine="480"/>
        <w:rPr>
          <w:color w:val="000000" w:themeColor="text1"/>
          <w14:textFill>
            <w14:solidFill>
              <w14:schemeClr w14:val="tx1"/>
            </w14:solidFill>
          </w14:textFill>
        </w:rPr>
      </w:pPr>
      <w:bookmarkStart w:id="142" w:name="_Toc96446273"/>
      <w:r>
        <w:rPr>
          <w:rFonts w:hint="eastAsia"/>
          <w:color w:val="000000" w:themeColor="text1"/>
          <w14:textFill>
            <w14:solidFill>
              <w14:schemeClr w14:val="tx1"/>
            </w14:solidFill>
          </w14:textFill>
        </w:rPr>
        <w:t>（六）向招标人或者其他监督部门报告非法干预评审工作的行为；</w:t>
      </w:r>
      <w:bookmarkEnd w:id="142"/>
    </w:p>
    <w:p>
      <w:pPr>
        <w:ind w:firstLine="480"/>
        <w:rPr>
          <w:color w:val="000000" w:themeColor="text1"/>
          <w14:textFill>
            <w14:solidFill>
              <w14:schemeClr w14:val="tx1"/>
            </w14:solidFill>
          </w14:textFill>
        </w:rPr>
      </w:pPr>
      <w:bookmarkStart w:id="143" w:name="_Toc96446274"/>
      <w:r>
        <w:rPr>
          <w:rFonts w:hint="eastAsia"/>
          <w:color w:val="000000" w:themeColor="text1"/>
          <w14:textFill>
            <w14:solidFill>
              <w14:schemeClr w14:val="tx1"/>
            </w14:solidFill>
          </w14:textFill>
        </w:rPr>
        <w:t>（七）法律、法规和规章规定的其他职责。</w:t>
      </w:r>
      <w:bookmarkEnd w:id="143"/>
    </w:p>
    <w:p>
      <w:pPr>
        <w:ind w:firstLine="480"/>
        <w:rPr>
          <w:color w:val="000000" w:themeColor="text1"/>
          <w14:textFill>
            <w14:solidFill>
              <w14:schemeClr w14:val="tx1"/>
            </w14:solidFill>
          </w14:textFill>
        </w:rPr>
      </w:pPr>
      <w:bookmarkStart w:id="144" w:name="_Toc96446275"/>
      <w:r>
        <w:rPr>
          <w:rFonts w:hint="eastAsia"/>
          <w:color w:val="000000" w:themeColor="text1"/>
          <w14:textFill>
            <w14:solidFill>
              <w14:schemeClr w14:val="tx1"/>
            </w14:solidFill>
          </w14:textFill>
        </w:rPr>
        <w:t>1.5 （实质性要求）评审过程独立、保密。投标人非法干预评审过程的，其响应文件作无效处理。</w:t>
      </w:r>
      <w:bookmarkEnd w:id="144"/>
    </w:p>
    <w:p>
      <w:pPr>
        <w:pStyle w:val="3"/>
        <w:keepNext w:val="0"/>
        <w:keepLines w:val="0"/>
        <w:spacing w:before="0" w:after="0" w:line="500" w:lineRule="exact"/>
        <w:ind w:firstLine="472" w:firstLineChars="196"/>
        <w:jc w:val="left"/>
        <w:rPr>
          <w:rFonts w:ascii="Times New Roman" w:hAnsi="Times New Roman"/>
          <w:color w:val="000000" w:themeColor="text1"/>
          <w:sz w:val="24"/>
          <w:lang w:val="zh-CN"/>
          <w14:textFill>
            <w14:solidFill>
              <w14:schemeClr w14:val="tx1"/>
            </w14:solidFill>
          </w14:textFill>
        </w:rPr>
      </w:pPr>
      <w:bookmarkStart w:id="145" w:name="_Toc96446276"/>
      <w:r>
        <w:rPr>
          <w:rFonts w:hint="eastAsia" w:ascii="Times New Roman" w:hAnsi="Times New Roman"/>
          <w:color w:val="000000" w:themeColor="text1"/>
          <w:sz w:val="24"/>
          <w:lang w:val="zh-CN"/>
          <w14:textFill>
            <w14:solidFill>
              <w14:schemeClr w14:val="tx1"/>
            </w14:solidFill>
          </w14:textFill>
        </w:rPr>
        <w:t>2.评审程序</w:t>
      </w:r>
      <w:bookmarkEnd w:id="145"/>
    </w:p>
    <w:p>
      <w:pPr>
        <w:ind w:firstLine="480"/>
        <w:rPr>
          <w:color w:val="000000" w:themeColor="text1"/>
          <w14:textFill>
            <w14:solidFill>
              <w14:schemeClr w14:val="tx1"/>
            </w14:solidFill>
          </w14:textFill>
        </w:rPr>
      </w:pPr>
      <w:bookmarkStart w:id="146" w:name="_Toc96446277"/>
      <w:r>
        <w:rPr>
          <w:rFonts w:hint="eastAsia"/>
          <w:color w:val="000000" w:themeColor="text1"/>
          <w14:textFill>
            <w14:solidFill>
              <w14:schemeClr w14:val="tx1"/>
            </w14:solidFill>
          </w14:textFill>
        </w:rPr>
        <w:t>2.1审查评审文件。</w:t>
      </w:r>
      <w:bookmarkEnd w:id="146"/>
    </w:p>
    <w:p>
      <w:pPr>
        <w:ind w:firstLine="480"/>
        <w:rPr>
          <w:color w:val="000000" w:themeColor="text1"/>
          <w14:textFill>
            <w14:solidFill>
              <w14:schemeClr w14:val="tx1"/>
            </w14:solidFill>
          </w14:textFill>
        </w:rPr>
      </w:pPr>
      <w:bookmarkStart w:id="147" w:name="_Toc96446278"/>
      <w:r>
        <w:rPr>
          <w:rFonts w:hint="eastAsia"/>
          <w:color w:val="000000" w:themeColor="text1"/>
          <w14:textFill>
            <w14:solidFill>
              <w14:schemeClr w14:val="tx1"/>
            </w14:solidFill>
          </w14:textFill>
        </w:rPr>
        <w:t>2.1.1 评审小组正式评审前，应当对评审文件进行熟悉和理解，内容主要包括评审文件中投标人资格条件要求、项目技术、服务和商务要求、评审办法和标准、政策要求以及业务合作协议主要条款等。</w:t>
      </w:r>
      <w:bookmarkEnd w:id="147"/>
    </w:p>
    <w:p>
      <w:pPr>
        <w:ind w:firstLine="480"/>
        <w:rPr>
          <w:color w:val="000000" w:themeColor="text1"/>
          <w14:textFill>
            <w14:solidFill>
              <w14:schemeClr w14:val="tx1"/>
            </w14:solidFill>
          </w14:textFill>
        </w:rPr>
      </w:pPr>
      <w:bookmarkStart w:id="148" w:name="_Toc96446279"/>
      <w:r>
        <w:rPr>
          <w:rFonts w:hint="eastAsia"/>
          <w:color w:val="000000" w:themeColor="text1"/>
          <w14:textFill>
            <w14:solidFill>
              <w14:schemeClr w14:val="tx1"/>
            </w14:solidFill>
          </w14:textFill>
        </w:rPr>
        <w:t>2.1.2 本评审文件有下列情形之一的，评审小组应当要求招标人澄清：</w:t>
      </w:r>
      <w:bookmarkEnd w:id="148"/>
    </w:p>
    <w:p>
      <w:pPr>
        <w:ind w:firstLine="480"/>
        <w:rPr>
          <w:color w:val="000000" w:themeColor="text1"/>
          <w14:textFill>
            <w14:solidFill>
              <w14:schemeClr w14:val="tx1"/>
            </w14:solidFill>
          </w14:textFill>
        </w:rPr>
      </w:pPr>
      <w:bookmarkStart w:id="149" w:name="_Toc96446280"/>
      <w:r>
        <w:rPr>
          <w:rFonts w:hint="eastAsia"/>
          <w:color w:val="000000" w:themeColor="text1"/>
          <w14:textFill>
            <w14:solidFill>
              <w14:schemeClr w14:val="tx1"/>
            </w14:solidFill>
          </w14:textFill>
        </w:rPr>
        <w:t>（1）评审文件的规定存在歧义、重大缺陷的；</w:t>
      </w:r>
      <w:bookmarkEnd w:id="149"/>
    </w:p>
    <w:p>
      <w:pPr>
        <w:ind w:firstLine="480"/>
        <w:rPr>
          <w:color w:val="000000" w:themeColor="text1"/>
          <w14:textFill>
            <w14:solidFill>
              <w14:schemeClr w14:val="tx1"/>
            </w14:solidFill>
          </w14:textFill>
        </w:rPr>
      </w:pPr>
      <w:bookmarkStart w:id="150" w:name="_Toc96446281"/>
      <w:r>
        <w:rPr>
          <w:rFonts w:hint="eastAsia"/>
          <w:color w:val="000000" w:themeColor="text1"/>
          <w14:textFill>
            <w14:solidFill>
              <w14:schemeClr w14:val="tx1"/>
            </w14:solidFill>
          </w14:textFill>
        </w:rPr>
        <w:t>（2）评审文件明显以不合理条件对投标人实行差别待遇或者歧视待遇的；</w:t>
      </w:r>
      <w:bookmarkEnd w:id="150"/>
    </w:p>
    <w:p>
      <w:pPr>
        <w:ind w:firstLine="480"/>
        <w:rPr>
          <w:color w:val="000000" w:themeColor="text1"/>
          <w14:textFill>
            <w14:solidFill>
              <w14:schemeClr w14:val="tx1"/>
            </w14:solidFill>
          </w14:textFill>
        </w:rPr>
      </w:pPr>
      <w:bookmarkStart w:id="151" w:name="_Toc96446282"/>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）评审文件将投标人的资格条件列为评分因素的；</w:t>
      </w:r>
      <w:bookmarkEnd w:id="151"/>
    </w:p>
    <w:p>
      <w:pPr>
        <w:ind w:firstLine="480"/>
        <w:rPr>
          <w:color w:val="000000" w:themeColor="text1"/>
          <w14:textFill>
            <w14:solidFill>
              <w14:schemeClr w14:val="tx1"/>
            </w14:solidFill>
          </w14:textFill>
        </w:rPr>
      </w:pPr>
      <w:bookmarkStart w:id="152" w:name="_Toc96446283"/>
      <w:r>
        <w:rPr>
          <w:rFonts w:hint="eastAsia"/>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）评审文件载明的成交原则不合法的；</w:t>
      </w:r>
      <w:bookmarkEnd w:id="152"/>
    </w:p>
    <w:p>
      <w:pPr>
        <w:ind w:firstLine="480"/>
        <w:rPr>
          <w:color w:val="000000" w:themeColor="text1"/>
          <w14:textFill>
            <w14:solidFill>
              <w14:schemeClr w14:val="tx1"/>
            </w14:solidFill>
          </w14:textFill>
        </w:rPr>
      </w:pPr>
      <w:bookmarkStart w:id="153" w:name="_Toc96446284"/>
      <w:r>
        <w:rPr>
          <w:rFonts w:hint="eastAsia"/>
          <w:color w:val="000000" w:themeColor="text1"/>
          <w14:textFill>
            <w14:solidFill>
              <w14:schemeClr w14:val="tx1"/>
            </w14:solidFill>
          </w14:textFill>
        </w:rPr>
        <w:t>（</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）评审文件有违反国家其他有关强制性规定的情形。</w:t>
      </w:r>
      <w:bookmarkEnd w:id="153"/>
    </w:p>
    <w:p>
      <w:pPr>
        <w:ind w:firstLine="480"/>
        <w:rPr>
          <w:color w:val="000000" w:themeColor="text1"/>
          <w14:textFill>
            <w14:solidFill>
              <w14:schemeClr w14:val="tx1"/>
            </w14:solidFill>
          </w14:textFill>
        </w:rPr>
      </w:pPr>
      <w:bookmarkStart w:id="154" w:name="_Toc96446286"/>
      <w:r>
        <w:rPr>
          <w:rFonts w:hint="eastAsia"/>
          <w:color w:val="000000" w:themeColor="text1"/>
          <w14:textFill>
            <w14:solidFill>
              <w14:schemeClr w14:val="tx1"/>
            </w14:solidFill>
          </w14:textFill>
        </w:rPr>
        <w:t>2.2资格性审查。</w:t>
      </w:r>
      <w:bookmarkEnd w:id="154"/>
    </w:p>
    <w:p>
      <w:pPr>
        <w:ind w:firstLine="480"/>
        <w:rPr>
          <w:color w:val="000000" w:themeColor="text1"/>
          <w14:textFill>
            <w14:solidFill>
              <w14:schemeClr w14:val="tx1"/>
            </w14:solidFill>
          </w14:textFill>
        </w:rPr>
      </w:pPr>
      <w:bookmarkStart w:id="155" w:name="_Toc96446287"/>
      <w:r>
        <w:rPr>
          <w:rFonts w:hint="eastAsia"/>
          <w:color w:val="000000" w:themeColor="text1"/>
          <w14:textFill>
            <w14:solidFill>
              <w14:schemeClr w14:val="tx1"/>
            </w14:solidFill>
          </w14:textFill>
        </w:rPr>
        <w:t>2.2.1本项目需要评审小组进行资格性检查。评审小组应依据法律法规和评审文件的规定，对响应文件是否按照规定要求提供资格性证明材料、是否属于禁止参加评审的投标人等进行审查，以确定投标人是否具备资格。</w:t>
      </w:r>
      <w:bookmarkEnd w:id="155"/>
    </w:p>
    <w:p>
      <w:pPr>
        <w:snapToGrid w:val="0"/>
        <w:spacing w:line="400" w:lineRule="exact"/>
        <w:ind w:right="82" w:rightChars="34" w:firstLine="3619" w:firstLineChars="1502"/>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资格审查合格条件</w:t>
      </w:r>
    </w:p>
    <w:p>
      <w:pPr>
        <w:pStyle w:val="67"/>
        <w:ind w:firstLine="600"/>
        <w:rPr>
          <w:color w:val="000000" w:themeColor="text1"/>
          <w14:textFill>
            <w14:solidFill>
              <w14:schemeClr w14:val="tx1"/>
            </w14:solidFill>
          </w14:textFill>
        </w:rPr>
      </w:pPr>
    </w:p>
    <w:tbl>
      <w:tblPr>
        <w:tblStyle w:val="34"/>
        <w:tblW w:w="0" w:type="auto"/>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9"/>
        <w:gridCol w:w="4202"/>
        <w:gridCol w:w="3795"/>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trPr>
        <w:tc>
          <w:tcPr>
            <w:tcW w:w="739" w:type="dxa"/>
            <w:tcMar>
              <w:top w:w="15" w:type="dxa"/>
              <w:left w:w="15" w:type="dxa"/>
              <w:bottom w:w="0" w:type="dxa"/>
              <w:right w:w="15" w:type="dxa"/>
            </w:tcMar>
            <w:vAlign w:val="center"/>
          </w:tcPr>
          <w:p>
            <w:pPr>
              <w:ind w:firstLine="0" w:firstLineChars="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序号</w:t>
            </w:r>
          </w:p>
        </w:tc>
        <w:tc>
          <w:tcPr>
            <w:tcW w:w="4202" w:type="dxa"/>
            <w:tcMar>
              <w:top w:w="15" w:type="dxa"/>
              <w:left w:w="15" w:type="dxa"/>
              <w:bottom w:w="0" w:type="dxa"/>
              <w:right w:w="15" w:type="dxa"/>
            </w:tcMar>
            <w:vAlign w:val="center"/>
          </w:tcPr>
          <w:p>
            <w:pPr>
              <w:ind w:firstLine="48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审查内容</w:t>
            </w:r>
          </w:p>
        </w:tc>
        <w:tc>
          <w:tcPr>
            <w:tcW w:w="3795" w:type="dxa"/>
            <w:tcMar>
              <w:top w:w="15" w:type="dxa"/>
              <w:left w:w="15" w:type="dxa"/>
              <w:bottom w:w="0" w:type="dxa"/>
              <w:right w:w="15" w:type="dxa"/>
            </w:tcMar>
            <w:vAlign w:val="center"/>
          </w:tcPr>
          <w:p>
            <w:pPr>
              <w:ind w:firstLine="48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合格条件</w:t>
            </w:r>
          </w:p>
        </w:tc>
        <w:tc>
          <w:tcPr>
            <w:tcW w:w="962" w:type="dxa"/>
            <w:tcMar>
              <w:top w:w="15" w:type="dxa"/>
              <w:left w:w="15" w:type="dxa"/>
              <w:bottom w:w="0" w:type="dxa"/>
              <w:right w:w="15" w:type="dxa"/>
            </w:tcMar>
            <w:vAlign w:val="center"/>
          </w:tcPr>
          <w:p>
            <w:pPr>
              <w:ind w:firstLine="0" w:firstLineChars="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trPr>
        <w:tc>
          <w:tcPr>
            <w:tcW w:w="739" w:type="dxa"/>
            <w:tcMar>
              <w:top w:w="15" w:type="dxa"/>
              <w:left w:w="15" w:type="dxa"/>
              <w:bottom w:w="0" w:type="dxa"/>
              <w:right w:w="15" w:type="dxa"/>
            </w:tcMar>
            <w:vAlign w:val="center"/>
          </w:tcPr>
          <w:p>
            <w:pPr>
              <w:ind w:firstLine="0" w:firstLineChars="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4202" w:type="dxa"/>
            <w:tcMar>
              <w:top w:w="15" w:type="dxa"/>
              <w:left w:w="15" w:type="dxa"/>
              <w:bottom w:w="0" w:type="dxa"/>
              <w:right w:w="15" w:type="dxa"/>
            </w:tcMar>
            <w:vAlign w:val="center"/>
          </w:tcPr>
          <w:p>
            <w:pPr>
              <w:ind w:firstLine="0"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依法注册成立，能够独立承担民事责任</w:t>
            </w:r>
          </w:p>
        </w:tc>
        <w:tc>
          <w:tcPr>
            <w:tcW w:w="3795" w:type="dxa"/>
            <w:tcMar>
              <w:top w:w="15" w:type="dxa"/>
              <w:left w:w="15" w:type="dxa"/>
              <w:bottom w:w="0" w:type="dxa"/>
              <w:right w:w="15" w:type="dxa"/>
            </w:tcMar>
            <w:vAlign w:val="center"/>
          </w:tcPr>
          <w:p>
            <w:pPr>
              <w:spacing w:line="360" w:lineRule="auto"/>
              <w:ind w:firstLine="0"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1.企业法人：提交“统一社会信用代码的营业执照”；</w:t>
            </w:r>
          </w:p>
          <w:p>
            <w:pPr>
              <w:spacing w:line="360" w:lineRule="auto"/>
              <w:ind w:firstLine="0"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2.事业法人：提交“统一社会信用代码的事业单位法人证书”；</w:t>
            </w:r>
          </w:p>
          <w:p>
            <w:pPr>
              <w:spacing w:line="360" w:lineRule="auto"/>
              <w:ind w:firstLine="0"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3.其他组织：提交“相关主管部门颁发的准许执业证明文件或其他证明材料”；</w:t>
            </w:r>
          </w:p>
          <w:p>
            <w:pPr>
              <w:spacing w:line="360" w:lineRule="auto"/>
              <w:ind w:firstLine="0" w:firstLineChars="0"/>
              <w:rPr>
                <w:rFonts w:ascii="宋体" w:hAnsi="宋体"/>
                <w:color w:val="000000" w:themeColor="text1"/>
                <w:szCs w:val="21"/>
                <w14:textFill>
                  <w14:solidFill>
                    <w14:schemeClr w14:val="tx1"/>
                  </w14:solidFill>
                </w14:textFill>
              </w:rPr>
            </w:pPr>
          </w:p>
        </w:tc>
        <w:tc>
          <w:tcPr>
            <w:tcW w:w="962" w:type="dxa"/>
            <w:tcMar>
              <w:top w:w="15" w:type="dxa"/>
              <w:left w:w="15" w:type="dxa"/>
              <w:bottom w:w="0" w:type="dxa"/>
              <w:right w:w="15" w:type="dxa"/>
            </w:tcMar>
            <w:vAlign w:val="center"/>
          </w:tcPr>
          <w:p>
            <w:pPr>
              <w:ind w:firstLine="480"/>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trPr>
        <w:tc>
          <w:tcPr>
            <w:tcW w:w="739" w:type="dxa"/>
            <w:tcMar>
              <w:top w:w="15" w:type="dxa"/>
              <w:left w:w="15" w:type="dxa"/>
              <w:bottom w:w="0" w:type="dxa"/>
              <w:right w:w="15" w:type="dxa"/>
            </w:tcMar>
            <w:vAlign w:val="center"/>
          </w:tcPr>
          <w:p>
            <w:pPr>
              <w:ind w:firstLine="0" w:firstLineChars="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4202" w:type="dxa"/>
            <w:tcMar>
              <w:top w:w="15" w:type="dxa"/>
              <w:left w:w="15" w:type="dxa"/>
              <w:bottom w:w="0" w:type="dxa"/>
              <w:right w:w="15" w:type="dxa"/>
            </w:tcMar>
            <w:vAlign w:val="center"/>
          </w:tcPr>
          <w:p>
            <w:pPr>
              <w:ind w:firstLine="0" w:firstLineChars="0"/>
              <w:rPr>
                <w:rFonts w:ascii="宋体" w:hAnsi="宋体"/>
                <w:color w:val="000000" w:themeColor="text1"/>
                <w:szCs w:val="21"/>
                <w14:textFill>
                  <w14:solidFill>
                    <w14:schemeClr w14:val="tx1"/>
                  </w14:solidFill>
                </w14:textFill>
              </w:rPr>
            </w:pPr>
            <w:r>
              <w:rPr>
                <w:rFonts w:hint="eastAsia" w:ascii="宋体"/>
                <w:color w:val="000000" w:themeColor="text1"/>
                <w14:textFill>
                  <w14:solidFill>
                    <w14:schemeClr w14:val="tx1"/>
                  </w14:solidFill>
                </w14:textFill>
              </w:rPr>
              <w:t>具有良好的商业信誉和健全的财务会计制度</w:t>
            </w:r>
          </w:p>
        </w:tc>
        <w:tc>
          <w:tcPr>
            <w:tcW w:w="3795" w:type="dxa"/>
            <w:tcMar>
              <w:top w:w="15" w:type="dxa"/>
              <w:left w:w="15" w:type="dxa"/>
              <w:bottom w:w="0" w:type="dxa"/>
              <w:right w:w="15" w:type="dxa"/>
            </w:tcMar>
            <w:vAlign w:val="center"/>
          </w:tcPr>
          <w:p>
            <w:pPr>
              <w:pStyle w:val="70"/>
              <w:spacing w:line="500" w:lineRule="exact"/>
              <w:jc w:val="center"/>
              <w:rPr>
                <w:color w:val="000000" w:themeColor="text1"/>
                <w:szCs w:val="21"/>
                <w14:textFill>
                  <w14:solidFill>
                    <w14:schemeClr w14:val="tx1"/>
                  </w14:solidFill>
                </w14:textFill>
              </w:rPr>
            </w:pPr>
            <w:r>
              <w:rPr>
                <w:bCs/>
                <w:color w:val="000000" w:themeColor="text1"/>
                <w14:textFill>
                  <w14:solidFill>
                    <w14:schemeClr w14:val="tx1"/>
                  </w14:solidFill>
                </w14:textFill>
              </w:rPr>
              <w:t>提供承诺</w:t>
            </w:r>
          </w:p>
        </w:tc>
        <w:tc>
          <w:tcPr>
            <w:tcW w:w="962" w:type="dxa"/>
            <w:tcMar>
              <w:top w:w="15" w:type="dxa"/>
              <w:left w:w="15" w:type="dxa"/>
              <w:bottom w:w="0" w:type="dxa"/>
              <w:right w:w="15" w:type="dxa"/>
            </w:tcMar>
            <w:vAlign w:val="center"/>
          </w:tcPr>
          <w:p>
            <w:pPr>
              <w:ind w:firstLine="480"/>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trPr>
        <w:tc>
          <w:tcPr>
            <w:tcW w:w="739" w:type="dxa"/>
            <w:tcMar>
              <w:top w:w="15" w:type="dxa"/>
              <w:left w:w="15" w:type="dxa"/>
              <w:bottom w:w="0" w:type="dxa"/>
              <w:right w:w="15" w:type="dxa"/>
            </w:tcMar>
            <w:vAlign w:val="center"/>
          </w:tcPr>
          <w:p>
            <w:pPr>
              <w:ind w:firstLine="0" w:firstLineChars="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4202" w:type="dxa"/>
            <w:tcMar>
              <w:top w:w="15" w:type="dxa"/>
              <w:left w:w="15" w:type="dxa"/>
              <w:bottom w:w="0" w:type="dxa"/>
              <w:right w:w="15" w:type="dxa"/>
            </w:tcMar>
            <w:vAlign w:val="center"/>
          </w:tcPr>
          <w:p>
            <w:pPr>
              <w:ind w:firstLine="0" w:firstLineChars="0"/>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具有依法纳税和缴纳社保的良好记录</w:t>
            </w:r>
          </w:p>
        </w:tc>
        <w:tc>
          <w:tcPr>
            <w:tcW w:w="3795" w:type="dxa"/>
            <w:tcMar>
              <w:top w:w="15" w:type="dxa"/>
              <w:left w:w="15" w:type="dxa"/>
              <w:bottom w:w="0" w:type="dxa"/>
              <w:right w:w="15" w:type="dxa"/>
            </w:tcMar>
            <w:vAlign w:val="center"/>
          </w:tcPr>
          <w:p>
            <w:pPr>
              <w:ind w:firstLine="0" w:firstLineChars="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提供承诺</w:t>
            </w:r>
          </w:p>
        </w:tc>
        <w:tc>
          <w:tcPr>
            <w:tcW w:w="962" w:type="dxa"/>
            <w:tcMar>
              <w:top w:w="15" w:type="dxa"/>
              <w:left w:w="15" w:type="dxa"/>
              <w:bottom w:w="0" w:type="dxa"/>
              <w:right w:w="15" w:type="dxa"/>
            </w:tcMar>
            <w:vAlign w:val="center"/>
          </w:tcPr>
          <w:p>
            <w:pPr>
              <w:ind w:firstLine="480"/>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trPr>
        <w:tc>
          <w:tcPr>
            <w:tcW w:w="739" w:type="dxa"/>
            <w:tcMar>
              <w:top w:w="15" w:type="dxa"/>
              <w:left w:w="15" w:type="dxa"/>
              <w:bottom w:w="0" w:type="dxa"/>
              <w:right w:w="15" w:type="dxa"/>
            </w:tcMar>
            <w:vAlign w:val="center"/>
          </w:tcPr>
          <w:p>
            <w:pPr>
              <w:ind w:firstLine="0" w:firstLineChars="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p>
        </w:tc>
        <w:tc>
          <w:tcPr>
            <w:tcW w:w="4202" w:type="dxa"/>
            <w:tcMar>
              <w:top w:w="15" w:type="dxa"/>
              <w:left w:w="15" w:type="dxa"/>
              <w:bottom w:w="0" w:type="dxa"/>
              <w:right w:w="15" w:type="dxa"/>
            </w:tcMar>
            <w:vAlign w:val="center"/>
          </w:tcPr>
          <w:p>
            <w:pPr>
              <w:ind w:firstLine="0" w:firstLineChars="0"/>
              <w:rPr>
                <w:rFonts w:ascii="宋体" w:hAnsi="宋体"/>
                <w:color w:val="000000" w:themeColor="text1"/>
                <w:szCs w:val="21"/>
                <w14:textFill>
                  <w14:solidFill>
                    <w14:schemeClr w14:val="tx1"/>
                  </w14:solidFill>
                </w14:textFill>
              </w:rPr>
            </w:pPr>
            <w:r>
              <w:rPr>
                <w:rFonts w:hint="eastAsia"/>
                <w:bCs/>
                <w:color w:val="000000" w:themeColor="text1"/>
                <w14:textFill>
                  <w14:solidFill>
                    <w14:schemeClr w14:val="tx1"/>
                  </w14:solidFill>
                </w14:textFill>
              </w:rPr>
              <w:t>具有履约所必须的基本财务实力、专业技术能力、服务渠道支持能力和行业经验，提供的产品符合国家、行业标准及评审方要求</w:t>
            </w:r>
          </w:p>
        </w:tc>
        <w:tc>
          <w:tcPr>
            <w:tcW w:w="3795" w:type="dxa"/>
            <w:tcMar>
              <w:top w:w="15" w:type="dxa"/>
              <w:left w:w="15" w:type="dxa"/>
              <w:bottom w:w="0" w:type="dxa"/>
              <w:right w:w="15" w:type="dxa"/>
            </w:tcMar>
            <w:vAlign w:val="center"/>
          </w:tcPr>
          <w:p>
            <w:pPr>
              <w:ind w:firstLine="0" w:firstLineChars="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提供承诺</w:t>
            </w:r>
          </w:p>
        </w:tc>
        <w:tc>
          <w:tcPr>
            <w:tcW w:w="962" w:type="dxa"/>
            <w:tcMar>
              <w:top w:w="15" w:type="dxa"/>
              <w:left w:w="15" w:type="dxa"/>
              <w:bottom w:w="0" w:type="dxa"/>
              <w:right w:w="15" w:type="dxa"/>
            </w:tcMar>
            <w:vAlign w:val="center"/>
          </w:tcPr>
          <w:p>
            <w:pPr>
              <w:ind w:firstLine="480"/>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5" w:hRule="atLeast"/>
        </w:trPr>
        <w:tc>
          <w:tcPr>
            <w:tcW w:w="739" w:type="dxa"/>
            <w:tcMar>
              <w:top w:w="15" w:type="dxa"/>
              <w:left w:w="15" w:type="dxa"/>
              <w:bottom w:w="0" w:type="dxa"/>
              <w:right w:w="15" w:type="dxa"/>
            </w:tcMar>
            <w:vAlign w:val="center"/>
          </w:tcPr>
          <w:p>
            <w:pPr>
              <w:ind w:firstLine="0" w:firstLineChars="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4202" w:type="dxa"/>
            <w:tcMar>
              <w:top w:w="15" w:type="dxa"/>
              <w:left w:w="15" w:type="dxa"/>
              <w:bottom w:w="0" w:type="dxa"/>
              <w:right w:w="15" w:type="dxa"/>
            </w:tcMar>
            <w:vAlign w:val="center"/>
          </w:tcPr>
          <w:p>
            <w:pPr>
              <w:ind w:firstLine="480"/>
              <w:rPr>
                <w:rFonts w:ascii="宋体" w:hAnsi="宋体"/>
                <w:color w:val="000000" w:themeColor="text1"/>
                <w:szCs w:val="21"/>
                <w14:textFill>
                  <w14:solidFill>
                    <w14:schemeClr w14:val="tx1"/>
                  </w14:solidFill>
                </w14:textFill>
              </w:rPr>
            </w:pPr>
            <w:r>
              <w:rPr>
                <w:rFonts w:hint="eastAsia" w:ascii="宋体" w:hAnsi="宋体"/>
                <w:bCs/>
                <w:color w:val="000000" w:themeColor="text1"/>
                <w14:textFill>
                  <w14:solidFill>
                    <w14:schemeClr w14:val="tx1"/>
                  </w14:solidFill>
                </w14:textFill>
              </w:rPr>
              <w:t>本次招标不允许联合体投标</w:t>
            </w:r>
          </w:p>
        </w:tc>
        <w:tc>
          <w:tcPr>
            <w:tcW w:w="3795" w:type="dxa"/>
            <w:tcMar>
              <w:top w:w="15" w:type="dxa"/>
              <w:left w:w="15" w:type="dxa"/>
              <w:bottom w:w="0" w:type="dxa"/>
              <w:right w:w="15" w:type="dxa"/>
            </w:tcMar>
            <w:vAlign w:val="center"/>
          </w:tcPr>
          <w:p>
            <w:pPr>
              <w:ind w:firstLine="480"/>
              <w:jc w:val="center"/>
              <w:rPr>
                <w:rFonts w:ascii="宋体" w:hAnsi="宋体"/>
                <w:color w:val="000000" w:themeColor="text1"/>
                <w:szCs w:val="21"/>
                <w14:textFill>
                  <w14:solidFill>
                    <w14:schemeClr w14:val="tx1"/>
                  </w14:solidFill>
                </w14:textFill>
              </w:rPr>
            </w:pPr>
            <w:r>
              <w:rPr>
                <w:rFonts w:hint="eastAsia" w:ascii="宋体" w:hAnsi="宋体"/>
                <w:bCs/>
                <w:color w:val="000000" w:themeColor="text1"/>
                <w14:textFill>
                  <w14:solidFill>
                    <w14:schemeClr w14:val="tx1"/>
                  </w14:solidFill>
                </w14:textFill>
              </w:rPr>
              <w:t>提供承诺</w:t>
            </w:r>
          </w:p>
        </w:tc>
        <w:tc>
          <w:tcPr>
            <w:tcW w:w="962" w:type="dxa"/>
            <w:tcMar>
              <w:top w:w="15" w:type="dxa"/>
              <w:left w:w="15" w:type="dxa"/>
              <w:bottom w:w="0" w:type="dxa"/>
              <w:right w:w="15" w:type="dxa"/>
            </w:tcMar>
            <w:vAlign w:val="center"/>
          </w:tcPr>
          <w:p>
            <w:pPr>
              <w:ind w:firstLine="480"/>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739" w:type="dxa"/>
            <w:tcMar>
              <w:top w:w="15" w:type="dxa"/>
              <w:left w:w="15" w:type="dxa"/>
              <w:bottom w:w="0" w:type="dxa"/>
              <w:right w:w="15" w:type="dxa"/>
            </w:tcMar>
            <w:vAlign w:val="center"/>
          </w:tcPr>
          <w:p>
            <w:pPr>
              <w:ind w:firstLine="0" w:firstLineChars="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w:t>
            </w:r>
          </w:p>
        </w:tc>
        <w:tc>
          <w:tcPr>
            <w:tcW w:w="4202" w:type="dxa"/>
            <w:tcMar>
              <w:top w:w="15" w:type="dxa"/>
              <w:left w:w="15" w:type="dxa"/>
              <w:bottom w:w="0" w:type="dxa"/>
              <w:right w:w="15" w:type="dxa"/>
            </w:tcMar>
            <w:vAlign w:val="center"/>
          </w:tcPr>
          <w:p>
            <w:pPr>
              <w:ind w:firstLine="0" w:firstLineChars="0"/>
              <w:rPr>
                <w:rFonts w:ascii="宋体" w:hAns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必须拥有自主产权的专用线（专用铁路）</w:t>
            </w:r>
          </w:p>
        </w:tc>
        <w:tc>
          <w:tcPr>
            <w:tcW w:w="3795" w:type="dxa"/>
            <w:tcMar>
              <w:top w:w="15" w:type="dxa"/>
              <w:left w:w="15" w:type="dxa"/>
              <w:bottom w:w="0" w:type="dxa"/>
              <w:right w:w="15" w:type="dxa"/>
            </w:tcMar>
            <w:vAlign w:val="center"/>
          </w:tcPr>
          <w:p>
            <w:pPr>
              <w:ind w:firstLine="480"/>
              <w:jc w:val="center"/>
              <w:rPr>
                <w:rFonts w:ascii="宋体" w:hAnsi="宋体"/>
                <w:color w:val="000000" w:themeColor="text1"/>
                <w:szCs w:val="21"/>
                <w14:textFill>
                  <w14:solidFill>
                    <w14:schemeClr w14:val="tx1"/>
                  </w14:solidFill>
                </w14:textFill>
              </w:rPr>
            </w:pPr>
            <w:r>
              <w:rPr>
                <w:rFonts w:hint="eastAsia" w:ascii="宋体" w:hAnsi="宋体"/>
                <w:bCs/>
                <w:color w:val="000000" w:themeColor="text1"/>
                <w14:textFill>
                  <w14:solidFill>
                    <w14:schemeClr w14:val="tx1"/>
                  </w14:solidFill>
                </w14:textFill>
              </w:rPr>
              <w:t>提供佐证文件（包括合同等）</w:t>
            </w:r>
          </w:p>
        </w:tc>
        <w:tc>
          <w:tcPr>
            <w:tcW w:w="962" w:type="dxa"/>
            <w:tcMar>
              <w:top w:w="15" w:type="dxa"/>
              <w:left w:w="15" w:type="dxa"/>
              <w:bottom w:w="0" w:type="dxa"/>
              <w:right w:w="15" w:type="dxa"/>
            </w:tcMar>
            <w:vAlign w:val="center"/>
          </w:tcPr>
          <w:p>
            <w:pPr>
              <w:ind w:firstLine="480"/>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739" w:type="dxa"/>
            <w:tcMar>
              <w:top w:w="15" w:type="dxa"/>
              <w:left w:w="15" w:type="dxa"/>
              <w:bottom w:w="0" w:type="dxa"/>
              <w:right w:w="15" w:type="dxa"/>
            </w:tcMar>
            <w:vAlign w:val="center"/>
          </w:tcPr>
          <w:p>
            <w:pPr>
              <w:ind w:firstLine="0" w:firstLineChars="0"/>
              <w:jc w:val="center"/>
              <w:rPr>
                <w:rFonts w:ascii="宋体" w:hAnsi="宋体"/>
                <w:color w:val="000000" w:themeColor="text1"/>
                <w:szCs w:val="21"/>
                <w14:textFill>
                  <w14:solidFill>
                    <w14:schemeClr w14:val="tx1"/>
                  </w14:solidFill>
                </w14:textFill>
              </w:rPr>
            </w:pPr>
          </w:p>
        </w:tc>
        <w:tc>
          <w:tcPr>
            <w:tcW w:w="4202" w:type="dxa"/>
            <w:tcMar>
              <w:top w:w="15" w:type="dxa"/>
              <w:left w:w="15" w:type="dxa"/>
              <w:bottom w:w="0" w:type="dxa"/>
              <w:right w:w="15" w:type="dxa"/>
            </w:tcMar>
            <w:vAlign w:val="center"/>
          </w:tcPr>
          <w:p>
            <w:pPr>
              <w:ind w:firstLine="0" w:firstLineChars="0"/>
              <w:rPr>
                <w:rFonts w:ascii="宋体" w:hAnsi="宋体"/>
                <w:bCs/>
                <w:color w:val="000000" w:themeColor="text1"/>
                <w14:textFill>
                  <w14:solidFill>
                    <w14:schemeClr w14:val="tx1"/>
                  </w14:solidFill>
                </w14:textFill>
              </w:rPr>
            </w:pPr>
            <w:r>
              <w:rPr>
                <w:rFonts w:hint="eastAsia"/>
                <w:color w:val="000000" w:themeColor="text1"/>
                <w14:textFill>
                  <w14:solidFill>
                    <w14:schemeClr w14:val="tx1"/>
                  </w14:solidFill>
                </w14:textFill>
              </w:rPr>
              <w:t>专用线（专用铁路）线路及其附属设施、设备状况良好，按照相关要求定期进行维护;</w:t>
            </w:r>
          </w:p>
        </w:tc>
        <w:tc>
          <w:tcPr>
            <w:tcW w:w="3795" w:type="dxa"/>
            <w:tcMar>
              <w:top w:w="15" w:type="dxa"/>
              <w:left w:w="15" w:type="dxa"/>
              <w:bottom w:w="0" w:type="dxa"/>
              <w:right w:w="15" w:type="dxa"/>
            </w:tcMar>
            <w:vAlign w:val="center"/>
          </w:tcPr>
          <w:p>
            <w:pPr>
              <w:ind w:firstLine="480"/>
              <w:jc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提供佐证文件（包括合同等）</w:t>
            </w:r>
          </w:p>
        </w:tc>
        <w:tc>
          <w:tcPr>
            <w:tcW w:w="962" w:type="dxa"/>
            <w:tcMar>
              <w:top w:w="15" w:type="dxa"/>
              <w:left w:w="15" w:type="dxa"/>
              <w:bottom w:w="0" w:type="dxa"/>
              <w:right w:w="15" w:type="dxa"/>
            </w:tcMar>
            <w:vAlign w:val="center"/>
          </w:tcPr>
          <w:p>
            <w:pPr>
              <w:ind w:firstLine="480"/>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739" w:type="dxa"/>
            <w:tcMar>
              <w:top w:w="15" w:type="dxa"/>
              <w:left w:w="15" w:type="dxa"/>
              <w:bottom w:w="0" w:type="dxa"/>
              <w:right w:w="15" w:type="dxa"/>
            </w:tcMar>
            <w:vAlign w:val="center"/>
          </w:tcPr>
          <w:p>
            <w:pPr>
              <w:ind w:firstLine="0" w:firstLineChars="0"/>
              <w:jc w:val="center"/>
              <w:rPr>
                <w:rFonts w:ascii="宋体" w:hAnsi="宋体"/>
                <w:color w:val="000000" w:themeColor="text1"/>
                <w:szCs w:val="21"/>
                <w14:textFill>
                  <w14:solidFill>
                    <w14:schemeClr w14:val="tx1"/>
                  </w14:solidFill>
                </w14:textFill>
              </w:rPr>
            </w:pPr>
          </w:p>
        </w:tc>
        <w:tc>
          <w:tcPr>
            <w:tcW w:w="4202" w:type="dxa"/>
            <w:tcMar>
              <w:top w:w="15" w:type="dxa"/>
              <w:left w:w="15" w:type="dxa"/>
              <w:bottom w:w="0" w:type="dxa"/>
              <w:right w:w="15" w:type="dxa"/>
            </w:tcMar>
            <w:vAlign w:val="center"/>
          </w:tcPr>
          <w:p>
            <w:pPr>
              <w:ind w:firstLine="480"/>
              <w:rPr>
                <w:rFonts w:ascii="宋体" w:hAnsi="宋体"/>
                <w:bCs/>
                <w:color w:val="000000" w:themeColor="text1"/>
                <w14:textFill>
                  <w14:solidFill>
                    <w14:schemeClr w14:val="tx1"/>
                  </w14:solidFill>
                </w14:textFill>
              </w:rPr>
            </w:pPr>
            <w:r>
              <w:rPr>
                <w:rFonts w:hint="eastAsia"/>
                <w:color w:val="000000" w:themeColor="text1"/>
                <w14:textFill>
                  <w14:solidFill>
                    <w14:schemeClr w14:val="tx1"/>
                  </w14:solidFill>
                </w14:textFill>
              </w:rPr>
              <w:t>能够提供5000平方以上场地（含照明、围栏等配套设施）作为集装箱运输业务的转运场地；</w:t>
            </w:r>
          </w:p>
        </w:tc>
        <w:tc>
          <w:tcPr>
            <w:tcW w:w="3795" w:type="dxa"/>
            <w:tcMar>
              <w:top w:w="15" w:type="dxa"/>
              <w:left w:w="15" w:type="dxa"/>
              <w:bottom w:w="0" w:type="dxa"/>
              <w:right w:w="15" w:type="dxa"/>
            </w:tcMar>
            <w:vAlign w:val="center"/>
          </w:tcPr>
          <w:p>
            <w:pPr>
              <w:ind w:firstLine="480"/>
              <w:jc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提供承诺</w:t>
            </w:r>
          </w:p>
        </w:tc>
        <w:tc>
          <w:tcPr>
            <w:tcW w:w="962" w:type="dxa"/>
            <w:tcMar>
              <w:top w:w="15" w:type="dxa"/>
              <w:left w:w="15" w:type="dxa"/>
              <w:bottom w:w="0" w:type="dxa"/>
              <w:right w:w="15" w:type="dxa"/>
            </w:tcMar>
            <w:vAlign w:val="center"/>
          </w:tcPr>
          <w:p>
            <w:pPr>
              <w:ind w:firstLine="480"/>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739" w:type="dxa"/>
            <w:tcMar>
              <w:top w:w="15" w:type="dxa"/>
              <w:left w:w="15" w:type="dxa"/>
              <w:bottom w:w="0" w:type="dxa"/>
              <w:right w:w="15" w:type="dxa"/>
            </w:tcMar>
            <w:vAlign w:val="center"/>
          </w:tcPr>
          <w:p>
            <w:pPr>
              <w:ind w:firstLine="0" w:firstLineChars="0"/>
              <w:jc w:val="center"/>
              <w:rPr>
                <w:rFonts w:ascii="宋体" w:hAnsi="宋体"/>
                <w:color w:val="000000" w:themeColor="text1"/>
                <w:szCs w:val="21"/>
                <w14:textFill>
                  <w14:solidFill>
                    <w14:schemeClr w14:val="tx1"/>
                  </w14:solidFill>
                </w14:textFill>
              </w:rPr>
            </w:pPr>
          </w:p>
        </w:tc>
        <w:tc>
          <w:tcPr>
            <w:tcW w:w="4202" w:type="dxa"/>
            <w:tcMar>
              <w:top w:w="15" w:type="dxa"/>
              <w:left w:w="15" w:type="dxa"/>
              <w:bottom w:w="0" w:type="dxa"/>
              <w:right w:w="15" w:type="dxa"/>
            </w:tcMar>
            <w:vAlign w:val="center"/>
          </w:tcPr>
          <w:p>
            <w:pPr>
              <w:ind w:firstLine="480"/>
              <w:rPr>
                <w:rFonts w:ascii="宋体" w:hAnsi="宋体"/>
                <w:bCs/>
                <w:color w:val="000000" w:themeColor="text1"/>
                <w14:textFill>
                  <w14:solidFill>
                    <w14:schemeClr w14:val="tx1"/>
                  </w14:solidFill>
                </w14:textFill>
              </w:rPr>
            </w:pPr>
            <w:r>
              <w:rPr>
                <w:rFonts w:hint="eastAsia"/>
                <w:color w:val="000000" w:themeColor="text1"/>
                <w14:textFill>
                  <w14:solidFill>
                    <w14:schemeClr w14:val="tx1"/>
                  </w14:solidFill>
                </w14:textFill>
              </w:rPr>
              <w:t>铁路信用良好。</w:t>
            </w:r>
          </w:p>
        </w:tc>
        <w:tc>
          <w:tcPr>
            <w:tcW w:w="3795" w:type="dxa"/>
            <w:tcMar>
              <w:top w:w="15" w:type="dxa"/>
              <w:left w:w="15" w:type="dxa"/>
              <w:bottom w:w="0" w:type="dxa"/>
              <w:right w:w="15" w:type="dxa"/>
            </w:tcMar>
            <w:vAlign w:val="center"/>
          </w:tcPr>
          <w:p>
            <w:pPr>
              <w:ind w:firstLine="480"/>
              <w:jc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提供承诺</w:t>
            </w:r>
          </w:p>
        </w:tc>
        <w:tc>
          <w:tcPr>
            <w:tcW w:w="962" w:type="dxa"/>
            <w:tcMar>
              <w:top w:w="15" w:type="dxa"/>
              <w:left w:w="15" w:type="dxa"/>
              <w:bottom w:w="0" w:type="dxa"/>
              <w:right w:w="15" w:type="dxa"/>
            </w:tcMar>
            <w:vAlign w:val="center"/>
          </w:tcPr>
          <w:p>
            <w:pPr>
              <w:ind w:firstLine="480"/>
              <w:jc w:val="center"/>
              <w:rPr>
                <w:rFonts w:ascii="宋体" w:hAnsi="宋体"/>
                <w:color w:val="000000" w:themeColor="text1"/>
                <w:szCs w:val="21"/>
                <w14:textFill>
                  <w14:solidFill>
                    <w14:schemeClr w14:val="tx1"/>
                  </w14:solidFill>
                </w14:textFill>
              </w:rPr>
            </w:pPr>
          </w:p>
        </w:tc>
      </w:tr>
    </w:tbl>
    <w:p>
      <w:pPr>
        <w:ind w:firstLine="480"/>
        <w:rPr>
          <w:color w:val="000000" w:themeColor="text1"/>
          <w14:textFill>
            <w14:solidFill>
              <w14:schemeClr w14:val="tx1"/>
            </w14:solidFill>
          </w14:textFill>
        </w:rPr>
      </w:pPr>
      <w:bookmarkStart w:id="156" w:name="_Toc96446288"/>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2.2.2资格性审查结束后，评审小组应当出具资格性审查报告，没有通过资格审查的投标人，评审小组应当在资格审查报告中说明原因。</w:t>
      </w:r>
      <w:bookmarkEnd w:id="156"/>
    </w:p>
    <w:p>
      <w:pPr>
        <w:ind w:firstLine="480"/>
        <w:rPr>
          <w:color w:val="000000" w:themeColor="text1"/>
          <w14:textFill>
            <w14:solidFill>
              <w14:schemeClr w14:val="tx1"/>
            </w14:solidFill>
          </w14:textFill>
        </w:rPr>
      </w:pPr>
      <w:bookmarkStart w:id="157" w:name="_Toc96446289"/>
      <w:r>
        <w:rPr>
          <w:rFonts w:hint="eastAsia"/>
          <w:color w:val="000000" w:themeColor="text1"/>
          <w14:textFill>
            <w14:solidFill>
              <w14:schemeClr w14:val="tx1"/>
            </w14:solidFill>
          </w14:textFill>
        </w:rPr>
        <w:t>2.2.3评审小组应依据评审文件</w:t>
      </w:r>
      <w:bookmarkEnd w:id="157"/>
      <w:bookmarkStart w:id="158" w:name="_Toc96446290"/>
      <w:r>
        <w:rPr>
          <w:rFonts w:hint="eastAsia"/>
          <w:color w:val="000000" w:themeColor="text1"/>
          <w14:textFill>
            <w14:solidFill>
              <w14:schemeClr w14:val="tx1"/>
            </w14:solidFill>
          </w14:textFill>
        </w:rPr>
        <w:t>规定的实质性要求，对符合资格的响应文件进行有效性、完整性和响应程度审查，以确定参加评审的投标人名单。</w:t>
      </w:r>
    </w:p>
    <w:p>
      <w:pPr>
        <w:pStyle w:val="11"/>
        <w:ind w:firstLine="640"/>
        <w:rPr>
          <w:color w:val="000000" w:themeColor="text1"/>
          <w14:textFill>
            <w14:solidFill>
              <w14:schemeClr w14:val="tx1"/>
            </w14:solidFill>
          </w14:textFill>
        </w:rPr>
      </w:pPr>
    </w:p>
    <w:p>
      <w:pPr>
        <w:snapToGrid w:val="0"/>
        <w:spacing w:line="400" w:lineRule="exact"/>
        <w:ind w:right="82" w:rightChars="34" w:firstLine="487" w:firstLineChars="202"/>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有效性、完整性和响应程度审查合格条件</w:t>
      </w:r>
    </w:p>
    <w:p>
      <w:pPr>
        <w:pStyle w:val="11"/>
        <w:ind w:firstLine="640"/>
        <w:rPr>
          <w:color w:val="000000" w:themeColor="text1"/>
          <w14:textFill>
            <w14:solidFill>
              <w14:schemeClr w14:val="tx1"/>
            </w14:solidFill>
          </w14:textFill>
        </w:rPr>
      </w:pPr>
    </w:p>
    <w:tbl>
      <w:tblPr>
        <w:tblStyle w:val="34"/>
        <w:tblW w:w="0" w:type="auto"/>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9"/>
        <w:gridCol w:w="5865"/>
        <w:gridCol w:w="2132"/>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trPr>
        <w:tc>
          <w:tcPr>
            <w:tcW w:w="739" w:type="dxa"/>
            <w:tcMar>
              <w:top w:w="15" w:type="dxa"/>
              <w:left w:w="15" w:type="dxa"/>
              <w:bottom w:w="0" w:type="dxa"/>
              <w:right w:w="15" w:type="dxa"/>
            </w:tcMar>
            <w:vAlign w:val="center"/>
          </w:tcPr>
          <w:p>
            <w:pPr>
              <w:ind w:firstLine="0" w:firstLineChars="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序号</w:t>
            </w:r>
          </w:p>
        </w:tc>
        <w:tc>
          <w:tcPr>
            <w:tcW w:w="5865" w:type="dxa"/>
            <w:tcMar>
              <w:top w:w="15" w:type="dxa"/>
              <w:left w:w="15" w:type="dxa"/>
              <w:bottom w:w="0" w:type="dxa"/>
              <w:right w:w="15" w:type="dxa"/>
            </w:tcMar>
            <w:vAlign w:val="center"/>
          </w:tcPr>
          <w:p>
            <w:pPr>
              <w:ind w:firstLine="48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审查内容</w:t>
            </w:r>
          </w:p>
        </w:tc>
        <w:tc>
          <w:tcPr>
            <w:tcW w:w="2132" w:type="dxa"/>
            <w:tcMar>
              <w:top w:w="15" w:type="dxa"/>
              <w:left w:w="15" w:type="dxa"/>
              <w:bottom w:w="0" w:type="dxa"/>
              <w:right w:w="15" w:type="dxa"/>
            </w:tcMar>
            <w:vAlign w:val="center"/>
          </w:tcPr>
          <w:p>
            <w:pPr>
              <w:ind w:firstLine="48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合格条件</w:t>
            </w:r>
          </w:p>
        </w:tc>
        <w:tc>
          <w:tcPr>
            <w:tcW w:w="962" w:type="dxa"/>
            <w:tcMar>
              <w:top w:w="15" w:type="dxa"/>
              <w:left w:w="15" w:type="dxa"/>
              <w:bottom w:w="0" w:type="dxa"/>
              <w:right w:w="15" w:type="dxa"/>
            </w:tcMar>
            <w:vAlign w:val="center"/>
          </w:tcPr>
          <w:p>
            <w:pPr>
              <w:ind w:firstLine="0" w:firstLineChars="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trPr>
        <w:tc>
          <w:tcPr>
            <w:tcW w:w="739" w:type="dxa"/>
            <w:tcMar>
              <w:top w:w="15" w:type="dxa"/>
              <w:left w:w="15" w:type="dxa"/>
              <w:bottom w:w="0" w:type="dxa"/>
              <w:right w:w="15" w:type="dxa"/>
            </w:tcMar>
            <w:vAlign w:val="center"/>
          </w:tcPr>
          <w:p>
            <w:pPr>
              <w:ind w:firstLine="0" w:firstLineChars="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865" w:type="dxa"/>
            <w:tcMar>
              <w:top w:w="15" w:type="dxa"/>
              <w:left w:w="15" w:type="dxa"/>
              <w:bottom w:w="0" w:type="dxa"/>
              <w:right w:w="15" w:type="dxa"/>
            </w:tcMar>
            <w:vAlign w:val="center"/>
          </w:tcPr>
          <w:p>
            <w:pPr>
              <w:ind w:firstLine="0" w:firstLineChars="0"/>
              <w:rPr>
                <w:rFonts w:ascii="宋体" w:hAnsi="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响应文件正副本数量</w:t>
            </w:r>
          </w:p>
        </w:tc>
        <w:tc>
          <w:tcPr>
            <w:tcW w:w="2132" w:type="dxa"/>
            <w:tcMar>
              <w:top w:w="15" w:type="dxa"/>
              <w:left w:w="15" w:type="dxa"/>
              <w:bottom w:w="0" w:type="dxa"/>
              <w:right w:w="15" w:type="dxa"/>
            </w:tcMar>
            <w:vAlign w:val="center"/>
          </w:tcPr>
          <w:p>
            <w:pPr>
              <w:spacing w:line="360" w:lineRule="auto"/>
              <w:ind w:firstLine="0" w:firstLineChars="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符合招标文件要求</w:t>
            </w:r>
          </w:p>
        </w:tc>
        <w:tc>
          <w:tcPr>
            <w:tcW w:w="962" w:type="dxa"/>
            <w:tcMar>
              <w:top w:w="15" w:type="dxa"/>
              <w:left w:w="15" w:type="dxa"/>
              <w:bottom w:w="0" w:type="dxa"/>
              <w:right w:w="15" w:type="dxa"/>
            </w:tcMar>
            <w:vAlign w:val="center"/>
          </w:tcPr>
          <w:p>
            <w:pPr>
              <w:ind w:firstLine="480"/>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trPr>
        <w:tc>
          <w:tcPr>
            <w:tcW w:w="739" w:type="dxa"/>
            <w:tcMar>
              <w:top w:w="15" w:type="dxa"/>
              <w:left w:w="15" w:type="dxa"/>
              <w:bottom w:w="0" w:type="dxa"/>
              <w:right w:w="15" w:type="dxa"/>
            </w:tcMar>
            <w:vAlign w:val="center"/>
          </w:tcPr>
          <w:p>
            <w:pPr>
              <w:ind w:firstLine="0" w:firstLineChars="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865" w:type="dxa"/>
            <w:tcMar>
              <w:top w:w="15" w:type="dxa"/>
              <w:left w:w="15" w:type="dxa"/>
              <w:bottom w:w="0" w:type="dxa"/>
              <w:right w:w="15" w:type="dxa"/>
            </w:tcMar>
            <w:vAlign w:val="center"/>
          </w:tcPr>
          <w:p>
            <w:pPr>
              <w:ind w:firstLine="0" w:firstLineChars="0"/>
              <w:rPr>
                <w:rFonts w:ascii="宋体" w:hAnsi="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响应文件的语言、计量单位、响应有效期等是否符合</w:t>
            </w:r>
            <w:r>
              <w:rPr>
                <w:rFonts w:hint="eastAsia" w:ascii="宋体" w:hAnsi="宋体"/>
                <w:color w:val="000000" w:themeColor="text1"/>
                <w:szCs w:val="21"/>
                <w14:textFill>
                  <w14:solidFill>
                    <w14:schemeClr w14:val="tx1"/>
                  </w14:solidFill>
                </w14:textFill>
              </w:rPr>
              <w:t>招标</w:t>
            </w:r>
            <w:r>
              <w:rPr>
                <w:rFonts w:hint="eastAsia" w:ascii="宋体" w:hAnsi="宋体" w:cs="宋体"/>
                <w:color w:val="000000" w:themeColor="text1"/>
                <w14:textFill>
                  <w14:solidFill>
                    <w14:schemeClr w14:val="tx1"/>
                  </w14:solidFill>
                </w14:textFill>
              </w:rPr>
              <w:t>文件的规定</w:t>
            </w:r>
          </w:p>
        </w:tc>
        <w:tc>
          <w:tcPr>
            <w:tcW w:w="2132" w:type="dxa"/>
            <w:tcMar>
              <w:top w:w="15" w:type="dxa"/>
              <w:left w:w="15" w:type="dxa"/>
              <w:bottom w:w="0" w:type="dxa"/>
              <w:right w:w="15" w:type="dxa"/>
            </w:tcMar>
            <w:vAlign w:val="center"/>
          </w:tcPr>
          <w:p>
            <w:pPr>
              <w:pStyle w:val="70"/>
              <w:spacing w:line="5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符合招标文件要求</w:t>
            </w:r>
          </w:p>
        </w:tc>
        <w:tc>
          <w:tcPr>
            <w:tcW w:w="962" w:type="dxa"/>
            <w:tcMar>
              <w:top w:w="15" w:type="dxa"/>
              <w:left w:w="15" w:type="dxa"/>
              <w:bottom w:w="0" w:type="dxa"/>
              <w:right w:w="15" w:type="dxa"/>
            </w:tcMar>
            <w:vAlign w:val="center"/>
          </w:tcPr>
          <w:p>
            <w:pPr>
              <w:ind w:firstLine="480"/>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trPr>
        <w:tc>
          <w:tcPr>
            <w:tcW w:w="739" w:type="dxa"/>
            <w:tcMar>
              <w:top w:w="15" w:type="dxa"/>
              <w:left w:w="15" w:type="dxa"/>
              <w:bottom w:w="0" w:type="dxa"/>
              <w:right w:w="15" w:type="dxa"/>
            </w:tcMar>
            <w:vAlign w:val="center"/>
          </w:tcPr>
          <w:p>
            <w:pPr>
              <w:ind w:firstLine="0" w:firstLineChars="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5865" w:type="dxa"/>
            <w:tcMar>
              <w:top w:w="15" w:type="dxa"/>
              <w:left w:w="15" w:type="dxa"/>
              <w:bottom w:w="0" w:type="dxa"/>
              <w:right w:w="15" w:type="dxa"/>
            </w:tcMar>
            <w:vAlign w:val="center"/>
          </w:tcPr>
          <w:p>
            <w:pPr>
              <w:pStyle w:val="70"/>
              <w:spacing w:line="500" w:lineRule="exact"/>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是否满足响应</w:t>
            </w:r>
            <w:r>
              <w:rPr>
                <w:rFonts w:hint="eastAsia"/>
                <w:color w:val="000000" w:themeColor="text1"/>
                <w:szCs w:val="21"/>
                <w14:textFill>
                  <w14:solidFill>
                    <w14:schemeClr w14:val="tx1"/>
                  </w14:solidFill>
                </w14:textFill>
              </w:rPr>
              <w:t>招标</w:t>
            </w:r>
            <w:r>
              <w:rPr>
                <w:rFonts w:hint="eastAsia"/>
                <w:color w:val="000000" w:themeColor="text1"/>
                <w14:textFill>
                  <w14:solidFill>
                    <w14:schemeClr w14:val="tx1"/>
                  </w14:solidFill>
                </w14:textFill>
              </w:rPr>
              <w:t>文件的实质性要求</w:t>
            </w:r>
          </w:p>
        </w:tc>
        <w:tc>
          <w:tcPr>
            <w:tcW w:w="2132" w:type="dxa"/>
            <w:tcMar>
              <w:top w:w="15" w:type="dxa"/>
              <w:left w:w="15" w:type="dxa"/>
              <w:bottom w:w="0" w:type="dxa"/>
              <w:right w:w="15" w:type="dxa"/>
            </w:tcMar>
            <w:vAlign w:val="center"/>
          </w:tcPr>
          <w:p>
            <w:pPr>
              <w:ind w:firstLine="0" w:firstLineChars="0"/>
              <w:jc w:val="both"/>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符合招标文件要求</w:t>
            </w:r>
          </w:p>
        </w:tc>
        <w:tc>
          <w:tcPr>
            <w:tcW w:w="962" w:type="dxa"/>
            <w:tcMar>
              <w:top w:w="15" w:type="dxa"/>
              <w:left w:w="15" w:type="dxa"/>
              <w:bottom w:w="0" w:type="dxa"/>
              <w:right w:w="15" w:type="dxa"/>
            </w:tcMar>
            <w:vAlign w:val="center"/>
          </w:tcPr>
          <w:p>
            <w:pPr>
              <w:ind w:firstLine="480"/>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trPr>
        <w:tc>
          <w:tcPr>
            <w:tcW w:w="739" w:type="dxa"/>
            <w:tcMar>
              <w:top w:w="15" w:type="dxa"/>
              <w:left w:w="15" w:type="dxa"/>
              <w:bottom w:w="0" w:type="dxa"/>
              <w:right w:w="15" w:type="dxa"/>
            </w:tcMar>
            <w:vAlign w:val="center"/>
          </w:tcPr>
          <w:p>
            <w:pPr>
              <w:ind w:firstLine="0" w:firstLineChars="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p>
        </w:tc>
        <w:tc>
          <w:tcPr>
            <w:tcW w:w="5865" w:type="dxa"/>
            <w:tcMar>
              <w:top w:w="15" w:type="dxa"/>
              <w:left w:w="15" w:type="dxa"/>
              <w:bottom w:w="0" w:type="dxa"/>
              <w:right w:w="15" w:type="dxa"/>
            </w:tcMar>
            <w:vAlign w:val="center"/>
          </w:tcPr>
          <w:p>
            <w:pPr>
              <w:ind w:firstLine="0" w:firstLineChars="0"/>
              <w:rPr>
                <w:rFonts w:ascii="宋体" w:hAnsi="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招标文件有明确要求，但响应文件未载明或者载明的招标项目履约时间、方式、数量与招标文件要求是否一致</w:t>
            </w:r>
          </w:p>
        </w:tc>
        <w:tc>
          <w:tcPr>
            <w:tcW w:w="2132" w:type="dxa"/>
            <w:tcMar>
              <w:top w:w="15" w:type="dxa"/>
              <w:left w:w="15" w:type="dxa"/>
              <w:bottom w:w="0" w:type="dxa"/>
              <w:right w:w="15" w:type="dxa"/>
            </w:tcMar>
            <w:vAlign w:val="center"/>
          </w:tcPr>
          <w:p>
            <w:pPr>
              <w:ind w:firstLine="0" w:firstLineChars="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符合招标文件要求</w:t>
            </w:r>
          </w:p>
        </w:tc>
        <w:tc>
          <w:tcPr>
            <w:tcW w:w="962" w:type="dxa"/>
            <w:tcMar>
              <w:top w:w="15" w:type="dxa"/>
              <w:left w:w="15" w:type="dxa"/>
              <w:bottom w:w="0" w:type="dxa"/>
              <w:right w:w="15" w:type="dxa"/>
            </w:tcMar>
            <w:vAlign w:val="center"/>
          </w:tcPr>
          <w:p>
            <w:pPr>
              <w:ind w:firstLine="480"/>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 w:hRule="atLeast"/>
        </w:trPr>
        <w:tc>
          <w:tcPr>
            <w:tcW w:w="739" w:type="dxa"/>
            <w:tcMar>
              <w:top w:w="15" w:type="dxa"/>
              <w:left w:w="15" w:type="dxa"/>
              <w:bottom w:w="0" w:type="dxa"/>
              <w:right w:w="15" w:type="dxa"/>
            </w:tcMar>
            <w:vAlign w:val="center"/>
          </w:tcPr>
          <w:p>
            <w:pPr>
              <w:ind w:firstLine="0" w:firstLineChars="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5865" w:type="dxa"/>
            <w:tcMar>
              <w:top w:w="15" w:type="dxa"/>
              <w:left w:w="15" w:type="dxa"/>
              <w:bottom w:w="0" w:type="dxa"/>
              <w:right w:w="15" w:type="dxa"/>
            </w:tcMar>
            <w:vAlign w:val="center"/>
          </w:tcPr>
          <w:p>
            <w:pPr>
              <w:ind w:firstLine="0" w:firstLineChars="0"/>
              <w:rPr>
                <w:rFonts w:ascii="宋体" w:hAnsi="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是否属于招标文件中无效响应情形</w:t>
            </w:r>
          </w:p>
        </w:tc>
        <w:tc>
          <w:tcPr>
            <w:tcW w:w="2132" w:type="dxa"/>
            <w:tcMar>
              <w:top w:w="15" w:type="dxa"/>
              <w:left w:w="15" w:type="dxa"/>
              <w:bottom w:w="0" w:type="dxa"/>
              <w:right w:w="15" w:type="dxa"/>
            </w:tcMar>
            <w:vAlign w:val="center"/>
          </w:tcPr>
          <w:p>
            <w:pPr>
              <w:ind w:firstLine="0" w:firstLineChars="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符合招标文件要求</w:t>
            </w:r>
          </w:p>
        </w:tc>
        <w:tc>
          <w:tcPr>
            <w:tcW w:w="962" w:type="dxa"/>
            <w:tcMar>
              <w:top w:w="15" w:type="dxa"/>
              <w:left w:w="15" w:type="dxa"/>
              <w:bottom w:w="0" w:type="dxa"/>
              <w:right w:w="15" w:type="dxa"/>
            </w:tcMar>
            <w:vAlign w:val="center"/>
          </w:tcPr>
          <w:p>
            <w:pPr>
              <w:ind w:firstLine="480"/>
              <w:jc w:val="center"/>
              <w:rPr>
                <w:rFonts w:ascii="宋体" w:hAnsi="宋体"/>
                <w:color w:val="000000" w:themeColor="text1"/>
                <w:szCs w:val="21"/>
                <w14:textFill>
                  <w14:solidFill>
                    <w14:schemeClr w14:val="tx1"/>
                  </w14:solidFill>
                </w14:textFill>
              </w:rPr>
            </w:pPr>
          </w:p>
        </w:tc>
      </w:tr>
    </w:tbl>
    <w:p>
      <w:pPr>
        <w:pStyle w:val="11"/>
        <w:ind w:firstLine="640"/>
        <w:rPr>
          <w:color w:val="000000" w:themeColor="text1"/>
          <w14:textFill>
            <w14:solidFill>
              <w14:schemeClr w14:val="tx1"/>
            </w14:solidFill>
          </w14:textFill>
        </w:rPr>
      </w:pP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2.2.4评审人宣布未通过资格性审查的投标人名单时，应当告知投标人未通过审查的原因。</w:t>
      </w:r>
      <w:bookmarkEnd w:id="158"/>
    </w:p>
    <w:p>
      <w:pPr>
        <w:ind w:firstLine="480"/>
        <w:rPr>
          <w:color w:val="000000" w:themeColor="text1"/>
          <w14:textFill>
            <w14:solidFill>
              <w14:schemeClr w14:val="tx1"/>
            </w14:solidFill>
          </w14:textFill>
        </w:rPr>
      </w:pPr>
      <w:bookmarkStart w:id="159" w:name="_Toc96446292"/>
      <w:r>
        <w:rPr>
          <w:rFonts w:hint="eastAsia"/>
          <w:color w:val="000000" w:themeColor="text1"/>
          <w14:textFill>
            <w14:solidFill>
              <w14:schemeClr w14:val="tx1"/>
            </w14:solidFill>
          </w14:textFill>
        </w:rPr>
        <w:t>2.</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评审。</w:t>
      </w:r>
      <w:bookmarkEnd w:id="159"/>
    </w:p>
    <w:p>
      <w:pPr>
        <w:ind w:firstLine="480"/>
        <w:rPr>
          <w:color w:val="000000" w:themeColor="text1"/>
          <w14:textFill>
            <w14:solidFill>
              <w14:schemeClr w14:val="tx1"/>
            </w14:solidFill>
          </w14:textFill>
        </w:rPr>
      </w:pPr>
      <w:bookmarkStart w:id="160" w:name="_Toc96446293"/>
      <w:r>
        <w:rPr>
          <w:rFonts w:hint="eastAsia"/>
          <w:color w:val="000000" w:themeColor="text1"/>
          <w14:textFill>
            <w14:solidFill>
              <w14:schemeClr w14:val="tx1"/>
            </w14:solidFill>
          </w14:textFill>
        </w:rPr>
        <w:t>2.3.1</w:t>
      </w:r>
      <w:bookmarkEnd w:id="160"/>
      <w:bookmarkStart w:id="161" w:name="_Toc96446295"/>
      <w:r>
        <w:rPr>
          <w:rFonts w:hint="eastAsia"/>
          <w:color w:val="000000" w:themeColor="text1"/>
          <w14:textFill>
            <w14:solidFill>
              <w14:schemeClr w14:val="tx1"/>
            </w14:solidFill>
          </w14:textFill>
        </w:rPr>
        <w:t>在评审过程中，评审小组可以根据招标文件和招标情况实质性变动招标文件的技术、服务要求以及合同草案条款，但不得变动</w:t>
      </w:r>
      <w:r>
        <w:rPr>
          <w:rFonts w:hint="eastAsia" w:ascii="宋体" w:hAnsi="宋体"/>
          <w:color w:val="000000" w:themeColor="text1"/>
          <w:szCs w:val="21"/>
          <w14:textFill>
            <w14:solidFill>
              <w14:schemeClr w14:val="tx1"/>
            </w14:solidFill>
          </w14:textFill>
        </w:rPr>
        <w:t>招标</w:t>
      </w:r>
      <w:r>
        <w:rPr>
          <w:rFonts w:hint="eastAsia"/>
          <w:color w:val="000000" w:themeColor="text1"/>
          <w14:textFill>
            <w14:solidFill>
              <w14:schemeClr w14:val="tx1"/>
            </w14:solidFill>
          </w14:textFill>
        </w:rPr>
        <w:t>文件中的其他内容。实质性变动的内容，须经</w:t>
      </w:r>
      <w:r>
        <w:rPr>
          <w:rFonts w:hint="eastAsia" w:ascii="宋体" w:hAnsi="宋体"/>
          <w:color w:val="000000" w:themeColor="text1"/>
          <w:szCs w:val="21"/>
          <w14:textFill>
            <w14:solidFill>
              <w14:schemeClr w14:val="tx1"/>
            </w14:solidFill>
          </w14:textFill>
        </w:rPr>
        <w:t>招标</w:t>
      </w:r>
      <w:r>
        <w:rPr>
          <w:rFonts w:hint="eastAsia"/>
          <w:color w:val="000000" w:themeColor="text1"/>
          <w14:textFill>
            <w14:solidFill>
              <w14:schemeClr w14:val="tx1"/>
            </w14:solidFill>
          </w14:textFill>
        </w:rPr>
        <w:t>人代表书面确认。</w:t>
      </w:r>
      <w:bookmarkEnd w:id="161"/>
    </w:p>
    <w:p>
      <w:pPr>
        <w:ind w:firstLine="480"/>
        <w:rPr>
          <w:color w:val="000000" w:themeColor="text1"/>
          <w14:textFill>
            <w14:solidFill>
              <w14:schemeClr w14:val="tx1"/>
            </w14:solidFill>
          </w14:textFill>
        </w:rPr>
      </w:pPr>
      <w:bookmarkStart w:id="162" w:name="_Toc96446296"/>
      <w:r>
        <w:rPr>
          <w:rFonts w:hint="eastAsia"/>
          <w:color w:val="000000" w:themeColor="text1"/>
          <w14:textFill>
            <w14:solidFill>
              <w14:schemeClr w14:val="tx1"/>
            </w14:solidFill>
          </w14:textFill>
        </w:rPr>
        <w:t>2.3.2对</w:t>
      </w:r>
      <w:r>
        <w:rPr>
          <w:rFonts w:hint="eastAsia" w:ascii="宋体" w:hAnsi="宋体"/>
          <w:color w:val="000000" w:themeColor="text1"/>
          <w:szCs w:val="21"/>
          <w14:textFill>
            <w14:solidFill>
              <w14:schemeClr w14:val="tx1"/>
            </w14:solidFill>
          </w14:textFill>
        </w:rPr>
        <w:t>招标</w:t>
      </w:r>
      <w:r>
        <w:rPr>
          <w:rFonts w:hint="eastAsia"/>
          <w:color w:val="000000" w:themeColor="text1"/>
          <w14:textFill>
            <w14:solidFill>
              <w14:schemeClr w14:val="tx1"/>
            </w14:solidFill>
          </w14:textFill>
        </w:rPr>
        <w:t>文件作出的实质性变动是</w:t>
      </w:r>
      <w:r>
        <w:rPr>
          <w:rFonts w:hint="eastAsia" w:ascii="宋体" w:hAnsi="宋体"/>
          <w:color w:val="000000" w:themeColor="text1"/>
          <w:szCs w:val="21"/>
          <w14:textFill>
            <w14:solidFill>
              <w14:schemeClr w14:val="tx1"/>
            </w14:solidFill>
          </w14:textFill>
        </w:rPr>
        <w:t>招标</w:t>
      </w:r>
      <w:r>
        <w:rPr>
          <w:rFonts w:hint="eastAsia"/>
          <w:color w:val="000000" w:themeColor="text1"/>
          <w14:textFill>
            <w14:solidFill>
              <w14:schemeClr w14:val="tx1"/>
            </w14:solidFill>
          </w14:textFill>
        </w:rPr>
        <w:t>文件的有效组成部分，评审小组应当及时以书面形式同时通知所有参加评审的投标人。</w:t>
      </w:r>
      <w:bookmarkEnd w:id="162"/>
    </w:p>
    <w:p>
      <w:pPr>
        <w:ind w:firstLine="480"/>
        <w:rPr>
          <w:color w:val="000000" w:themeColor="text1"/>
          <w14:textFill>
            <w14:solidFill>
              <w14:schemeClr w14:val="tx1"/>
            </w14:solidFill>
          </w14:textFill>
        </w:rPr>
      </w:pPr>
      <w:bookmarkStart w:id="163" w:name="_Toc96446297"/>
      <w:r>
        <w:rPr>
          <w:rFonts w:hint="eastAsia"/>
          <w:color w:val="000000" w:themeColor="text1"/>
          <w14:textFill>
            <w14:solidFill>
              <w14:schemeClr w14:val="tx1"/>
            </w14:solidFill>
          </w14:textFill>
        </w:rPr>
        <w:t>2.3.3评审过程中，</w:t>
      </w:r>
      <w:r>
        <w:rPr>
          <w:rFonts w:hint="eastAsia" w:ascii="宋体" w:hAnsi="宋体"/>
          <w:color w:val="000000" w:themeColor="text1"/>
          <w:szCs w:val="21"/>
          <w14:textFill>
            <w14:solidFill>
              <w14:schemeClr w14:val="tx1"/>
            </w14:solidFill>
          </w14:textFill>
        </w:rPr>
        <w:t>招标</w:t>
      </w:r>
      <w:r>
        <w:rPr>
          <w:rFonts w:hint="eastAsia"/>
          <w:color w:val="000000" w:themeColor="text1"/>
          <w14:textFill>
            <w14:solidFill>
              <w14:schemeClr w14:val="tx1"/>
            </w14:solidFill>
          </w14:textFill>
        </w:rPr>
        <w:t>文件变动的，投标人应当按照</w:t>
      </w:r>
      <w:r>
        <w:rPr>
          <w:rFonts w:hint="eastAsia" w:ascii="宋体" w:hAnsi="宋体"/>
          <w:color w:val="000000" w:themeColor="text1"/>
          <w:szCs w:val="21"/>
          <w14:textFill>
            <w14:solidFill>
              <w14:schemeClr w14:val="tx1"/>
            </w14:solidFill>
          </w14:textFill>
        </w:rPr>
        <w:t>招标</w:t>
      </w:r>
      <w:r>
        <w:rPr>
          <w:rFonts w:hint="eastAsia"/>
          <w:color w:val="000000" w:themeColor="text1"/>
          <w14:textFill>
            <w14:solidFill>
              <w14:schemeClr w14:val="tx1"/>
            </w14:solidFill>
          </w14:textFill>
        </w:rPr>
        <w:t>文件的变动情况和评审小组的要求重新提交响应文件，并由其法定代表人/主要负责人/本人或其授权代表签字或者加盖公章。评审过程中，投标人根据评审情况自行决定变更其响应文件的，评审小组不得拒绝，并应当给予投标人必要的时间，但是投标人变更其响应文件，应当以有利于满足</w:t>
      </w:r>
      <w:r>
        <w:rPr>
          <w:rFonts w:hint="eastAsia" w:ascii="宋体" w:hAnsi="宋体"/>
          <w:color w:val="000000" w:themeColor="text1"/>
          <w:szCs w:val="21"/>
          <w14:textFill>
            <w14:solidFill>
              <w14:schemeClr w14:val="tx1"/>
            </w14:solidFill>
          </w14:textFill>
        </w:rPr>
        <w:t>招标</w:t>
      </w:r>
      <w:r>
        <w:rPr>
          <w:rFonts w:hint="eastAsia"/>
          <w:color w:val="000000" w:themeColor="text1"/>
          <w14:textFill>
            <w14:solidFill>
              <w14:schemeClr w14:val="tx1"/>
            </w14:solidFill>
          </w14:textFill>
        </w:rPr>
        <w:t>文件要求为原则，不得变更为不利于满足</w:t>
      </w:r>
      <w:r>
        <w:rPr>
          <w:rFonts w:hint="eastAsia" w:ascii="宋体" w:hAnsi="宋体"/>
          <w:color w:val="000000" w:themeColor="text1"/>
          <w:szCs w:val="21"/>
          <w14:textFill>
            <w14:solidFill>
              <w14:schemeClr w14:val="tx1"/>
            </w14:solidFill>
          </w14:textFill>
        </w:rPr>
        <w:t>招标</w:t>
      </w:r>
      <w:r>
        <w:rPr>
          <w:rFonts w:hint="eastAsia"/>
          <w:color w:val="000000" w:themeColor="text1"/>
          <w14:textFill>
            <w14:solidFill>
              <w14:schemeClr w14:val="tx1"/>
            </w14:solidFill>
          </w14:textFill>
        </w:rPr>
        <w:t>文件规定，否则，其响应文件作为无效处理。</w:t>
      </w:r>
      <w:bookmarkEnd w:id="163"/>
    </w:p>
    <w:p>
      <w:pPr>
        <w:ind w:firstLine="480"/>
        <w:rPr>
          <w:color w:val="000000" w:themeColor="text1"/>
          <w14:textFill>
            <w14:solidFill>
              <w14:schemeClr w14:val="tx1"/>
            </w14:solidFill>
          </w14:textFill>
        </w:rPr>
      </w:pPr>
      <w:bookmarkStart w:id="164" w:name="_Toc96446298"/>
      <w:r>
        <w:rPr>
          <w:rFonts w:hint="eastAsia"/>
          <w:color w:val="000000" w:themeColor="text1"/>
          <w14:textFill>
            <w14:solidFill>
              <w14:schemeClr w14:val="tx1"/>
            </w14:solidFill>
          </w14:textFill>
        </w:rPr>
        <w:t>2.3.4评审过程中，评审的任何一方不得透露与</w:t>
      </w:r>
      <w:r>
        <w:rPr>
          <w:rFonts w:hint="eastAsia" w:ascii="宋体" w:hAnsi="宋体"/>
          <w:color w:val="000000" w:themeColor="text1"/>
          <w:szCs w:val="21"/>
          <w14:textFill>
            <w14:solidFill>
              <w14:schemeClr w14:val="tx1"/>
            </w14:solidFill>
          </w14:textFill>
        </w:rPr>
        <w:t>招标</w:t>
      </w:r>
      <w:r>
        <w:rPr>
          <w:rFonts w:hint="eastAsia"/>
          <w:color w:val="000000" w:themeColor="text1"/>
          <w14:textFill>
            <w14:solidFill>
              <w14:schemeClr w14:val="tx1"/>
            </w14:solidFill>
          </w14:textFill>
        </w:rPr>
        <w:t>有关的其他投标人的技术资料、价格和其他信息。</w:t>
      </w:r>
      <w:bookmarkEnd w:id="164"/>
    </w:p>
    <w:p>
      <w:pPr>
        <w:ind w:firstLine="480"/>
        <w:rPr>
          <w:color w:val="000000" w:themeColor="text1"/>
          <w14:textFill>
            <w14:solidFill>
              <w14:schemeClr w14:val="tx1"/>
            </w14:solidFill>
          </w14:textFill>
        </w:rPr>
      </w:pPr>
      <w:bookmarkStart w:id="165" w:name="_Toc96446299"/>
      <w:r>
        <w:rPr>
          <w:rFonts w:hint="eastAsia"/>
          <w:color w:val="000000" w:themeColor="text1"/>
          <w14:textFill>
            <w14:solidFill>
              <w14:schemeClr w14:val="tx1"/>
            </w14:solidFill>
          </w14:textFill>
        </w:rPr>
        <w:t>2.3.5评审过程中，评审小组发现或者知晓投标人存在违法、违纪行为的，评审小组应当将该投标人响应文件作无效处理，不允许其提交报价。</w:t>
      </w:r>
      <w:bookmarkEnd w:id="165"/>
    </w:p>
    <w:p>
      <w:pPr>
        <w:ind w:firstLine="480"/>
        <w:rPr>
          <w:color w:val="000000" w:themeColor="text1"/>
          <w14:textFill>
            <w14:solidFill>
              <w14:schemeClr w14:val="tx1"/>
            </w14:solidFill>
          </w14:textFill>
        </w:rPr>
      </w:pPr>
      <w:bookmarkStart w:id="166" w:name="_Toc96446300"/>
      <w:r>
        <w:rPr>
          <w:rFonts w:hint="eastAsia"/>
          <w:color w:val="000000" w:themeColor="text1"/>
          <w14:textFill>
            <w14:solidFill>
              <w14:schemeClr w14:val="tx1"/>
            </w14:solidFill>
          </w14:textFill>
        </w:rPr>
        <w:t>2.3.6评审完成后，评审小组应出具评审情况记录表，评审情况记录表需包含评审内容、评审意见、实质性变动内容等。</w:t>
      </w:r>
      <w:bookmarkEnd w:id="166"/>
      <w:r>
        <w:rPr>
          <w:rFonts w:hint="eastAsia"/>
          <w:color w:val="000000" w:themeColor="text1"/>
          <w14:textFill>
            <w14:solidFill>
              <w14:schemeClr w14:val="tx1"/>
            </w14:solidFill>
          </w14:textFill>
        </w:rPr>
        <w:t xml:space="preserve">   </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报价。</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2.4.1评审文件能够详细列明评审标的的技术、服务要求的，评审结束后，评审小组应当把所有实质性响应的投标人的报价作为报价。</w:t>
      </w:r>
    </w:p>
    <w:p>
      <w:pPr>
        <w:tabs>
          <w:tab w:val="left" w:pos="1920"/>
        </w:tabs>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2.4.2投标人报价应当由法定代表人/主要负责人/本人或其授权代表签字确认或加盖公章。报价是投标人响应文件的有效组成部分。</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2.4.3报价中的算术错误将按以下方法修正：响应文件的大写金额和小写金额不一致的，以大写金额为准；总价金额与按单价汇总金额不一致的，以单价金额计算结果为准。如果小写、大写金额和单价、总价金额出现明显文字错误，应当按照澄清、说明或者更正程序先纠正错误后，再行修正，不得不经过澄清、说明或者更正，直接将投标人响应文件作为无效处理。对不同文字文本响应文件的解释发生异议的，以中文文本为准。</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比较与评价。由评审小组采用综合评分法对投标人的响应文件和报价进行综合评分，具体要求详见本章综合评分部分。</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推荐成交候选人。</w:t>
      </w:r>
      <w:r>
        <w:rPr>
          <w:rFonts w:hint="eastAsia"/>
          <w:bCs/>
          <w:color w:val="000000" w:themeColor="text1"/>
          <w14:textFill>
            <w14:solidFill>
              <w14:schemeClr w14:val="tx1"/>
            </w14:solidFill>
          </w14:textFill>
        </w:rPr>
        <w:t>评审小组应当根据综合评分情况，按照评审得分由高到低顺序推荐成交候选人，并编写评审报告。</w:t>
      </w:r>
      <w:r>
        <w:rPr>
          <w:rFonts w:hint="eastAsia"/>
          <w:color w:val="000000" w:themeColor="text1"/>
          <w14:textFill>
            <w14:solidFill>
              <w14:schemeClr w14:val="tx1"/>
            </w14:solidFill>
          </w14:textFill>
        </w:rPr>
        <w:t>评审得分相同的，按照报价由低到高的顺序推荐。评审得分且报价相同的，按照资质及保障能力高低顺序推荐。评审得分且报价且资质及保障能力分项得分均相同的，成交候选人并列。</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7</w:t>
      </w:r>
      <w:r>
        <w:rPr>
          <w:rFonts w:hint="eastAsia"/>
          <w:color w:val="000000" w:themeColor="text1"/>
          <w14:textFill>
            <w14:solidFill>
              <w14:schemeClr w14:val="tx1"/>
            </w14:solidFill>
          </w14:textFill>
        </w:rPr>
        <w:t>评审小组复核。评审小组评分汇总结束后，评审小组应当进行评审复核，对拟推荐为成交候选投标人的、报价最低的、投标人资格审查未通过的、投标人响应文件作无效处理的重点复核。</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编写评审报告。评审小组推荐成交候选人后，应向招标人出具评审报告。评审报告应当包括以下主要内容：</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（1）邀请投标人参加评审活动的具体方式和相关情况；</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（2）响应文件开启日期和地点；</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（3）获取评审文件的投标人名单和评审小组成员名单；</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（4）评审情况记录和说明，包括对投标人的资格审查情况、投标人响应文件审查情况、评审情况、报价情况等；</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（5）提出的成交候选投标人的排序名单及理由。</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评审报告应当由评审小组全体人员签字认可。评审小组成员对评审报告有异议的，评审小组按照少数服从多数的原则推荐成交候选投标人，评审程序继续进行。对评审报告有异议的评审小组成员，应当在报告上签署不同意见并说明理由，由评审小组书面记录相关情况。评审小组成员拒绝在报告上签字又不书面说明其不同意见和理由的，视为同意评审报告。</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9</w:t>
      </w:r>
      <w:r>
        <w:rPr>
          <w:rFonts w:hint="eastAsia"/>
          <w:color w:val="000000" w:themeColor="text1"/>
          <w14:textFill>
            <w14:solidFill>
              <w14:schemeClr w14:val="tx1"/>
            </w14:solidFill>
          </w14:textFill>
        </w:rPr>
        <w:t>评审异议处理规则。在评审过程中，评审小组成员对响应文件是否符合评审文件规定存在争议的，应当以少数服从多数的原则处理，但不违背评审文件规定。有不同意见的评审小组成员认为认定过程和结果不符合法律法规或者评审文件规定的，应当在评审报告中予以反映。</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2.1</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投标人澄清、说明</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2.1</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1评审小组在对响应文件的有效性、完整性和响应程度进行审查时，可以要求投标人对响应文件中含义不明确、同类问题表述不一致或者有明显文字和计算错误的内容等作出必要的澄清、说明或者更正。投标人的澄清、说明或者更正不得超出响应文件的范围或者改变响应文件的实质性内容。</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2.1</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.2评审小组要求投标人澄清、说明或者更正响应文件应当以书面形式作出。投标人的澄清、说明或者更正应当由法定代表人/主要负责人/本人或其授权代表签字或者加盖公章。</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2.1</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终止评审活动。</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出现下列情形之一的，评审人应当终止竞争性评审活动，发布项目终止公告并说明原因，重新开展评审活动：</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（1）因情况变化，不再符合规定的竞争性评审方式适用情形的；</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（2）出现影响评审公正的违法、违规行为的；</w:t>
      </w:r>
    </w:p>
    <w:p>
      <w:pPr>
        <w:ind w:firstLine="480"/>
        <w:rPr>
          <w:color w:val="000000" w:themeColor="text1"/>
          <w14:textFill>
            <w14:solidFill>
              <w14:schemeClr w14:val="tx1"/>
            </w14:solidFill>
          </w14:textFill>
        </w:rPr>
      </w:pPr>
    </w:p>
    <w:p>
      <w:pPr>
        <w:ind w:firstLine="482"/>
        <w:rPr>
          <w:b/>
          <w:color w:val="000000" w:themeColor="text1"/>
          <w14:textFill>
            <w14:solidFill>
              <w14:schemeClr w14:val="tx1"/>
            </w14:solidFill>
          </w14:textFill>
        </w:rPr>
      </w:pPr>
      <w:r>
        <w:rPr>
          <w:rFonts w:hint="eastAsia"/>
          <w:b/>
          <w:color w:val="000000" w:themeColor="text1"/>
          <w14:textFill>
            <w14:solidFill>
              <w14:schemeClr w14:val="tx1"/>
            </w14:solidFill>
          </w14:textFill>
        </w:rPr>
        <w:t>3.综合评分</w:t>
      </w:r>
    </w:p>
    <w:p>
      <w:pPr>
        <w:widowControl/>
        <w:ind w:firstLine="480"/>
        <w:rPr>
          <w:rFonts w:ascii="宋体" w:hAnsi="宋体"/>
          <w:color w:val="000000" w:themeColor="text1"/>
          <w:kern w:val="0"/>
          <w:lang w:val="zh-CN"/>
          <w14:textFill>
            <w14:solidFill>
              <w14:schemeClr w14:val="tx1"/>
            </w14:solidFill>
          </w14:textFill>
        </w:rPr>
      </w:pPr>
      <w:r>
        <w:rPr>
          <w:rFonts w:hint="eastAsia" w:ascii="宋体"/>
          <w:color w:val="000000" w:themeColor="text1"/>
          <w14:textFill>
            <w14:solidFill>
              <w14:schemeClr w14:val="tx1"/>
            </w14:solidFill>
          </w14:textFill>
        </w:rPr>
        <w:t>3.1</w:t>
      </w:r>
      <w:r>
        <w:rPr>
          <w:rFonts w:hint="eastAsia"/>
          <w:color w:val="000000" w:themeColor="text1"/>
          <w14:textFill>
            <w14:solidFill>
              <w14:schemeClr w14:val="tx1"/>
            </w14:solidFill>
          </w14:textFill>
        </w:rPr>
        <w:t>本次综合评分的因素是：</w:t>
      </w:r>
      <w:r>
        <w:rPr>
          <w:rFonts w:hint="eastAsia" w:ascii="宋体" w:hAnsi="宋体"/>
          <w:color w:val="000000" w:themeColor="text1"/>
          <w:kern w:val="0"/>
          <w:lang w:val="zh-CN"/>
          <w14:textFill>
            <w14:solidFill>
              <w14:schemeClr w14:val="tx1"/>
            </w14:solidFill>
          </w14:textFill>
        </w:rPr>
        <w:t>价格、履约能力、</w:t>
      </w:r>
      <w:r>
        <w:rPr>
          <w:rFonts w:ascii="宋体" w:hAnsi="宋体"/>
          <w:color w:val="000000" w:themeColor="text1"/>
          <w:kern w:val="0"/>
          <w:lang w:val="zh-CN"/>
          <w14:textFill>
            <w14:solidFill>
              <w14:schemeClr w14:val="tx1"/>
            </w14:solidFill>
          </w14:textFill>
        </w:rPr>
        <w:t>服务</w:t>
      </w:r>
      <w:r>
        <w:rPr>
          <w:rFonts w:hint="eastAsia" w:ascii="宋体" w:hAnsi="宋体"/>
          <w:color w:val="000000" w:themeColor="text1"/>
          <w:kern w:val="0"/>
          <w:lang w:val="zh-CN"/>
          <w14:textFill>
            <w14:solidFill>
              <w14:schemeClr w14:val="tx1"/>
            </w14:solidFill>
          </w14:textFill>
        </w:rPr>
        <w:t>、安全管理水平、企</w:t>
      </w:r>
      <w:r>
        <w:rPr>
          <w:rFonts w:ascii="宋体" w:hAnsi="宋体"/>
          <w:color w:val="000000" w:themeColor="text1"/>
          <w:kern w:val="0"/>
          <w:lang w:val="zh-CN"/>
          <w14:textFill>
            <w14:solidFill>
              <w14:schemeClr w14:val="tx1"/>
            </w14:solidFill>
          </w14:textFill>
        </w:rPr>
        <w:t>业实力</w:t>
      </w:r>
      <w:r>
        <w:rPr>
          <w:rFonts w:hint="eastAsia" w:ascii="宋体" w:hAnsi="宋体"/>
          <w:color w:val="000000" w:themeColor="text1"/>
          <w:kern w:val="0"/>
          <w:lang w:val="zh-CN"/>
          <w14:textFill>
            <w14:solidFill>
              <w14:schemeClr w14:val="tx1"/>
            </w14:solidFill>
          </w14:textFill>
        </w:rPr>
        <w:t>、</w:t>
      </w:r>
      <w:r>
        <w:rPr>
          <w:rFonts w:ascii="宋体" w:hAnsi="宋体"/>
          <w:color w:val="000000" w:themeColor="text1"/>
          <w:kern w:val="0"/>
          <w:lang w:val="zh-CN"/>
          <w14:textFill>
            <w14:solidFill>
              <w14:schemeClr w14:val="tx1"/>
            </w14:solidFill>
          </w14:textFill>
        </w:rPr>
        <w:t>响应文件的规范性</w:t>
      </w:r>
      <w:r>
        <w:rPr>
          <w:rFonts w:hint="eastAsia"/>
          <w:color w:val="000000" w:themeColor="text1"/>
          <w14:textFill>
            <w14:solidFill>
              <w14:schemeClr w14:val="tx1"/>
            </w14:solidFill>
          </w14:textFill>
        </w:rPr>
        <w:t>等。</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3.2 除价格因素外，评审小组成员应当根据自身专业情况独立对每个有效投标人的响应文件进行评价、打分。</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3.3综合评分明细表</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3.3.1综合评分明细表的制定以科学合理、降低评委会自由裁量权为原则。</w:t>
      </w:r>
    </w:p>
    <w:p>
      <w:pPr>
        <w:ind w:firstLine="480"/>
        <w:rPr>
          <w:color w:val="000000" w:themeColor="text1"/>
          <w14:textFill>
            <w14:solidFill>
              <w14:schemeClr w14:val="tx1"/>
            </w14:solidFill>
          </w14:textFill>
        </w:rPr>
      </w:pPr>
      <w:bookmarkStart w:id="167" w:name="_Toc96446301"/>
      <w:r>
        <w:rPr>
          <w:rFonts w:hint="eastAsia"/>
          <w:color w:val="000000" w:themeColor="text1"/>
          <w14:textFill>
            <w14:solidFill>
              <w14:schemeClr w14:val="tx1"/>
            </w14:solidFill>
          </w14:textFill>
        </w:rPr>
        <w:t>3.3.2综合评分明细表</w:t>
      </w:r>
      <w:bookmarkEnd w:id="167"/>
    </w:p>
    <w:tbl>
      <w:tblPr>
        <w:tblStyle w:val="34"/>
        <w:tblW w:w="52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312"/>
        <w:gridCol w:w="1317"/>
        <w:gridCol w:w="7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5" w:type="dxa"/>
            <w:vAlign w:val="center"/>
          </w:tcPr>
          <w:p>
            <w:pPr>
              <w:spacing w:line="360" w:lineRule="auto"/>
              <w:ind w:firstLine="0" w:firstLineChars="0"/>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序号</w:t>
            </w:r>
          </w:p>
        </w:tc>
        <w:tc>
          <w:tcPr>
            <w:tcW w:w="1309" w:type="dxa"/>
            <w:vAlign w:val="center"/>
          </w:tcPr>
          <w:p>
            <w:pPr>
              <w:spacing w:line="360" w:lineRule="auto"/>
              <w:ind w:firstLine="0" w:firstLineChars="0"/>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评分因素及权重</w:t>
            </w:r>
          </w:p>
        </w:tc>
        <w:tc>
          <w:tcPr>
            <w:tcW w:w="1314" w:type="dxa"/>
            <w:vAlign w:val="center"/>
          </w:tcPr>
          <w:p>
            <w:pPr>
              <w:spacing w:line="360" w:lineRule="auto"/>
              <w:ind w:firstLine="0" w:firstLineChars="0"/>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分值</w:t>
            </w:r>
          </w:p>
        </w:tc>
        <w:tc>
          <w:tcPr>
            <w:tcW w:w="7277" w:type="dxa"/>
            <w:vAlign w:val="center"/>
          </w:tcPr>
          <w:p>
            <w:pPr>
              <w:spacing w:line="360" w:lineRule="auto"/>
              <w:ind w:firstLine="482"/>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5" w:type="dxa"/>
            <w:vAlign w:val="center"/>
          </w:tcPr>
          <w:p>
            <w:pPr>
              <w:spacing w:line="360" w:lineRule="auto"/>
              <w:ind w:firstLine="0" w:firstLineChars="0"/>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w:t>
            </w:r>
          </w:p>
        </w:tc>
        <w:tc>
          <w:tcPr>
            <w:tcW w:w="1309" w:type="dxa"/>
            <w:vAlign w:val="center"/>
          </w:tcPr>
          <w:p>
            <w:pPr>
              <w:spacing w:line="360" w:lineRule="auto"/>
              <w:ind w:firstLine="0" w:firstLineChars="0"/>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机车取送费报价30%</w:t>
            </w:r>
          </w:p>
        </w:tc>
        <w:tc>
          <w:tcPr>
            <w:tcW w:w="1314" w:type="dxa"/>
            <w:vAlign w:val="center"/>
          </w:tcPr>
          <w:p>
            <w:pPr>
              <w:spacing w:line="360" w:lineRule="auto"/>
              <w:ind w:firstLine="241" w:firstLineChars="10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30分</w:t>
            </w:r>
          </w:p>
        </w:tc>
        <w:tc>
          <w:tcPr>
            <w:tcW w:w="7277" w:type="dxa"/>
            <w:vAlign w:val="center"/>
          </w:tcPr>
          <w:p>
            <w:pPr>
              <w:spacing w:line="360" w:lineRule="auto"/>
              <w:ind w:firstLine="482"/>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（最低报价/报价）*30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785" w:type="dxa"/>
            <w:vAlign w:val="center"/>
          </w:tcPr>
          <w:p>
            <w:pPr>
              <w:spacing w:line="360" w:lineRule="auto"/>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2</w:t>
            </w:r>
          </w:p>
        </w:tc>
        <w:tc>
          <w:tcPr>
            <w:tcW w:w="1309" w:type="dxa"/>
            <w:tcBorders>
              <w:right w:val="single" w:color="auto" w:sz="4" w:space="0"/>
            </w:tcBorders>
            <w:vAlign w:val="center"/>
          </w:tcPr>
          <w:p>
            <w:pPr>
              <w:spacing w:line="360" w:lineRule="auto"/>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专用线（铁路）硬件设施，设备50</w:t>
            </w:r>
            <w:r>
              <w:rPr>
                <w:color w:val="000000" w:themeColor="text1"/>
                <w14:textFill>
                  <w14:solidFill>
                    <w14:schemeClr w14:val="tx1"/>
                  </w14:solidFill>
                </w14:textFill>
              </w:rPr>
              <w:t>%</w:t>
            </w:r>
          </w:p>
        </w:tc>
        <w:tc>
          <w:tcPr>
            <w:tcW w:w="1314" w:type="dxa"/>
            <w:tcBorders>
              <w:left w:val="single" w:color="auto" w:sz="4" w:space="0"/>
            </w:tcBorders>
            <w:vAlign w:val="center"/>
          </w:tcPr>
          <w:p>
            <w:pPr>
              <w:spacing w:line="360" w:lineRule="auto"/>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50</w:t>
            </w:r>
            <w:r>
              <w:rPr>
                <w:color w:val="000000" w:themeColor="text1"/>
                <w14:textFill>
                  <w14:solidFill>
                    <w14:schemeClr w14:val="tx1"/>
                  </w14:solidFill>
                </w14:textFill>
              </w:rPr>
              <w:t>分</w:t>
            </w:r>
          </w:p>
        </w:tc>
        <w:tc>
          <w:tcPr>
            <w:tcW w:w="7277" w:type="dxa"/>
            <w:tcBorders>
              <w:left w:val="single" w:color="auto" w:sz="4" w:space="0"/>
            </w:tcBorders>
            <w:vAlign w:val="center"/>
          </w:tcPr>
          <w:p>
            <w:pPr>
              <w:ind w:firstLine="439" w:firstLineChars="183"/>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1 \* GB3</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①</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配置机车，严格按照铁修程进行维护保养且与铁路相关机构签订相关维保协议（10分）；</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GB3</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②</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机车三大件配置齐全，且与铁路相关机构签订相关维保协议（10分）；</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3 \* GB3</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③</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按照铁路相关要求按期开展机车过轨鉴定（10分）；</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4 \* GB3</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④</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铁路线路正常，且与铁路相关机构签订相关维保协议（10分）；</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5 \* GB3</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⑤</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能够提供5000平方以上场地（含照明、围栏等配套设施）作为集装箱业务的堆放场地:（10分）</w:t>
            </w:r>
          </w:p>
          <w:p>
            <w:pPr>
              <w:spacing w:line="360" w:lineRule="auto"/>
              <w:ind w:firstLine="0" w:firstLineChars="0"/>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5" w:type="dxa"/>
            <w:vAlign w:val="center"/>
          </w:tcPr>
          <w:p>
            <w:pPr>
              <w:spacing w:line="360" w:lineRule="auto"/>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3</w:t>
            </w:r>
          </w:p>
        </w:tc>
        <w:tc>
          <w:tcPr>
            <w:tcW w:w="1309" w:type="dxa"/>
            <w:tcBorders>
              <w:right w:val="single" w:color="auto" w:sz="4" w:space="0"/>
            </w:tcBorders>
            <w:vAlign w:val="center"/>
          </w:tcPr>
          <w:p>
            <w:pPr>
              <w:spacing w:line="360" w:lineRule="auto"/>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专业作业人员15</w:t>
            </w:r>
            <w:r>
              <w:rPr>
                <w:color w:val="000000" w:themeColor="text1"/>
                <w14:textFill>
                  <w14:solidFill>
                    <w14:schemeClr w14:val="tx1"/>
                  </w14:solidFill>
                </w14:textFill>
              </w:rPr>
              <w:t>%</w:t>
            </w:r>
          </w:p>
        </w:tc>
        <w:tc>
          <w:tcPr>
            <w:tcW w:w="1314" w:type="dxa"/>
            <w:tcBorders>
              <w:left w:val="single" w:color="auto" w:sz="4" w:space="0"/>
            </w:tcBorders>
            <w:vAlign w:val="center"/>
          </w:tcPr>
          <w:p>
            <w:pPr>
              <w:spacing w:line="360" w:lineRule="auto"/>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w:t>
            </w:r>
            <w:r>
              <w:rPr>
                <w:color w:val="000000" w:themeColor="text1"/>
                <w14:textFill>
                  <w14:solidFill>
                    <w14:schemeClr w14:val="tx1"/>
                  </w14:solidFill>
                </w14:textFill>
              </w:rPr>
              <w:t>分</w:t>
            </w:r>
          </w:p>
        </w:tc>
        <w:tc>
          <w:tcPr>
            <w:tcW w:w="7277" w:type="dxa"/>
            <w:tcBorders>
              <w:left w:val="single" w:color="auto" w:sz="4" w:space="0"/>
            </w:tcBorders>
            <w:vAlign w:val="center"/>
          </w:tcPr>
          <w:p>
            <w:pPr>
              <w:spacing w:line="360"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专用线（专用铁路）配置专业的铁路运输队伍（含机车驾乘、调车、货运作业人员），按期参加铁路资质年审且合格（5分）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5" w:type="dxa"/>
            <w:vAlign w:val="center"/>
          </w:tcPr>
          <w:p>
            <w:pPr>
              <w:spacing w:line="360" w:lineRule="auto"/>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4</w:t>
            </w:r>
          </w:p>
        </w:tc>
        <w:tc>
          <w:tcPr>
            <w:tcW w:w="1309" w:type="dxa"/>
            <w:tcBorders>
              <w:right w:val="single" w:color="auto" w:sz="4" w:space="0"/>
            </w:tcBorders>
            <w:vAlign w:val="center"/>
          </w:tcPr>
          <w:p>
            <w:pPr>
              <w:spacing w:line="360" w:lineRule="auto"/>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安全管理及</w:t>
            </w:r>
            <w:r>
              <w:rPr>
                <w:color w:val="000000" w:themeColor="text1"/>
                <w14:textFill>
                  <w14:solidFill>
                    <w14:schemeClr w14:val="tx1"/>
                  </w14:solidFill>
                </w14:textFill>
              </w:rPr>
              <w:t>应急措施10%</w:t>
            </w:r>
          </w:p>
        </w:tc>
        <w:tc>
          <w:tcPr>
            <w:tcW w:w="1314" w:type="dxa"/>
            <w:tcBorders>
              <w:left w:val="single" w:color="auto" w:sz="4" w:space="0"/>
            </w:tcBorders>
            <w:vAlign w:val="center"/>
          </w:tcPr>
          <w:p>
            <w:pPr>
              <w:spacing w:line="360" w:lineRule="auto"/>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0</w:t>
            </w:r>
            <w:r>
              <w:rPr>
                <w:color w:val="000000" w:themeColor="text1"/>
                <w14:textFill>
                  <w14:solidFill>
                    <w14:schemeClr w14:val="tx1"/>
                  </w14:solidFill>
                </w14:textFill>
              </w:rPr>
              <w:t>分</w:t>
            </w:r>
          </w:p>
        </w:tc>
        <w:tc>
          <w:tcPr>
            <w:tcW w:w="7277" w:type="dxa"/>
            <w:tcBorders>
              <w:left w:val="single" w:color="auto" w:sz="4" w:space="0"/>
            </w:tcBorders>
            <w:vAlign w:val="center"/>
          </w:tcPr>
          <w:p>
            <w:pPr>
              <w:spacing w:line="360" w:lineRule="auto"/>
              <w:ind w:firstLine="240" w:firstLineChars="100"/>
              <w:rPr>
                <w:color w:val="000000" w:themeColor="text1"/>
                <w:lang w:eastAsia="zh-Hans"/>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1 \* GB3</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①</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针对铁路运输特点，投标人有完整的安全管理规章、制度、体系等，并针对性的制定有相关事故应急预案（</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分）；</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GB3</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②</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按期组织相关事故应急预案演练（</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785" w:type="dxa"/>
            <w:vAlign w:val="center"/>
          </w:tcPr>
          <w:p>
            <w:pPr>
              <w:spacing w:line="360" w:lineRule="auto"/>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5</w:t>
            </w:r>
          </w:p>
        </w:tc>
        <w:tc>
          <w:tcPr>
            <w:tcW w:w="1309" w:type="dxa"/>
            <w:tcBorders>
              <w:right w:val="single" w:color="auto" w:sz="4" w:space="0"/>
            </w:tcBorders>
            <w:vAlign w:val="center"/>
          </w:tcPr>
          <w:p>
            <w:pPr>
              <w:spacing w:line="36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响应文件编制规范性</w:t>
            </w:r>
          </w:p>
        </w:tc>
        <w:tc>
          <w:tcPr>
            <w:tcW w:w="1314" w:type="dxa"/>
            <w:tcBorders>
              <w:left w:val="single" w:color="auto" w:sz="4" w:space="0"/>
            </w:tcBorders>
            <w:vAlign w:val="center"/>
          </w:tcPr>
          <w:p>
            <w:pPr>
              <w:spacing w:line="360" w:lineRule="auto"/>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5分</w:t>
            </w:r>
          </w:p>
        </w:tc>
        <w:tc>
          <w:tcPr>
            <w:tcW w:w="7277" w:type="dxa"/>
            <w:tcBorders>
              <w:left w:val="single" w:color="auto" w:sz="4" w:space="0"/>
            </w:tcBorders>
            <w:vAlign w:val="center"/>
          </w:tcPr>
          <w:p>
            <w:pPr>
              <w:spacing w:line="360"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除重大不符合项外，响应文件的字体、排版等方面完全符合响应文件编制规范性要求（5分），每一项不符合项-0.5分。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094" w:type="dxa"/>
            <w:gridSpan w:val="2"/>
            <w:tcBorders>
              <w:right w:val="single" w:color="auto" w:sz="4" w:space="0"/>
            </w:tcBorders>
            <w:vAlign w:val="center"/>
          </w:tcPr>
          <w:p>
            <w:pPr>
              <w:spacing w:line="360" w:lineRule="auto"/>
              <w:ind w:firstLine="0" w:firstLineChars="0"/>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合计</w:t>
            </w:r>
          </w:p>
        </w:tc>
        <w:tc>
          <w:tcPr>
            <w:tcW w:w="1314" w:type="dxa"/>
            <w:tcBorders>
              <w:top w:val="single" w:color="auto" w:sz="4" w:space="0"/>
              <w:left w:val="single" w:color="auto" w:sz="4" w:space="0"/>
              <w:right w:val="single" w:color="auto" w:sz="4" w:space="0"/>
            </w:tcBorders>
            <w:vAlign w:val="center"/>
          </w:tcPr>
          <w:p>
            <w:pPr>
              <w:spacing w:line="360" w:lineRule="auto"/>
              <w:ind w:firstLine="0" w:firstLineChars="0"/>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100分</w:t>
            </w:r>
          </w:p>
        </w:tc>
        <w:tc>
          <w:tcPr>
            <w:tcW w:w="7277" w:type="dxa"/>
            <w:tcBorders>
              <w:top w:val="single" w:color="auto" w:sz="4" w:space="0"/>
              <w:left w:val="single" w:color="auto" w:sz="4" w:space="0"/>
              <w:right w:val="single" w:color="auto" w:sz="4" w:space="0"/>
            </w:tcBorders>
            <w:vAlign w:val="center"/>
          </w:tcPr>
          <w:p>
            <w:pPr>
              <w:spacing w:line="360" w:lineRule="auto"/>
              <w:ind w:firstLine="0" w:firstLineChars="0"/>
              <w:jc w:val="center"/>
              <w:rPr>
                <w:rFonts w:ascii="宋体" w:hAnsi="宋体" w:cs="宋体"/>
                <w:b/>
                <w:bCs/>
                <w:color w:val="000000" w:themeColor="text1"/>
                <w14:textFill>
                  <w14:solidFill>
                    <w14:schemeClr w14:val="tx1"/>
                  </w14:solidFill>
                </w14:textFill>
              </w:rPr>
            </w:pPr>
          </w:p>
        </w:tc>
      </w:tr>
    </w:tbl>
    <w:p>
      <w:pPr>
        <w:spacing w:line="360" w:lineRule="auto"/>
        <w:ind w:firstLine="480"/>
        <w:rPr>
          <w:color w:val="000000" w:themeColor="text1"/>
          <w14:textFill>
            <w14:solidFill>
              <w14:schemeClr w14:val="tx1"/>
            </w14:solidFill>
          </w14:textFill>
        </w:rPr>
      </w:pPr>
    </w:p>
    <w:p>
      <w:pPr>
        <w:spacing w:line="360" w:lineRule="auto"/>
        <w:ind w:firstLine="480"/>
        <w:rPr>
          <w:b/>
          <w:bCs/>
          <w:color w:val="000000" w:themeColor="text1"/>
          <w14:textFill>
            <w14:solidFill>
              <w14:schemeClr w14:val="tx1"/>
            </w14:solidFill>
          </w14:textFill>
        </w:rPr>
      </w:pPr>
      <w:r>
        <w:rPr>
          <w:rFonts w:hint="eastAsia"/>
          <w:color w:val="000000" w:themeColor="text1"/>
          <w14:textFill>
            <w14:solidFill>
              <w14:schemeClr w14:val="tx1"/>
            </w14:solidFill>
          </w14:textFill>
        </w:rPr>
        <w:t>注：1）</w:t>
      </w:r>
      <w:r>
        <w:rPr>
          <w:rFonts w:hint="eastAsia" w:ascii="宋体"/>
          <w:b/>
          <w:bCs/>
          <w:color w:val="000000" w:themeColor="text1"/>
          <w14:textFill>
            <w14:solidFill>
              <w14:schemeClr w14:val="tx1"/>
            </w14:solidFill>
          </w14:textFill>
        </w:rPr>
        <w:t>现场评审顺序由投标人现场签到先后顺序决定，如存在投标人不满足资格性、有效性、完整性审查或放弃评审的，则顺序依次调整。</w:t>
      </w:r>
    </w:p>
    <w:p>
      <w:pPr>
        <w:spacing w:line="360" w:lineRule="auto"/>
        <w:ind w:firstLine="964" w:firstLineChars="400"/>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2）评分的取值按四舍五入法，保留小数点后两位。</w:t>
      </w:r>
    </w:p>
    <w:bookmarkEnd w:id="127"/>
    <w:bookmarkEnd w:id="128"/>
    <w:bookmarkEnd w:id="129"/>
    <w:bookmarkEnd w:id="130"/>
    <w:p>
      <w:pPr>
        <w:tabs>
          <w:tab w:val="left" w:pos="851"/>
        </w:tabs>
        <w:ind w:firstLine="482"/>
        <w:rPr>
          <w:rFonts w:ascii="宋体" w:hAnsi="宋体"/>
          <w:b/>
          <w:color w:val="000000" w:themeColor="text1"/>
          <w14:textFill>
            <w14:solidFill>
              <w14:schemeClr w14:val="tx1"/>
            </w14:solidFill>
          </w14:textFill>
        </w:rPr>
      </w:pPr>
    </w:p>
    <w:p>
      <w:pPr>
        <w:widowControl/>
        <w:ind w:firstLine="482"/>
        <w:rPr>
          <w:rFonts w:ascii="宋体" w:hAnsi="宋体"/>
          <w:b/>
          <w:color w:val="000000" w:themeColor="text1"/>
          <w:kern w:val="0"/>
          <w:lang w:val="zh-CN"/>
          <w14:textFill>
            <w14:solidFill>
              <w14:schemeClr w14:val="tx1"/>
            </w14:solidFill>
          </w14:textFill>
        </w:rPr>
      </w:pPr>
      <w:r>
        <w:rPr>
          <w:rFonts w:hint="eastAsia" w:ascii="宋体" w:hAnsi="宋体"/>
          <w:b/>
          <w:color w:val="000000" w:themeColor="text1"/>
          <w:kern w:val="0"/>
          <w:lang w:val="zh-CN"/>
          <w14:textFill>
            <w14:solidFill>
              <w14:schemeClr w14:val="tx1"/>
            </w14:solidFill>
          </w14:textFill>
        </w:rPr>
        <w:t>4.评审纪律及注意事项</w:t>
      </w:r>
    </w:p>
    <w:p>
      <w:pPr>
        <w:tabs>
          <w:tab w:val="left" w:pos="851"/>
        </w:tabs>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4.1评审小组内部讨论的情况和意见必须保密，任何人不得以任何形式透露给投标人或与投标人有关的单位或个人。</w:t>
      </w:r>
    </w:p>
    <w:p>
      <w:pPr>
        <w:tabs>
          <w:tab w:val="left" w:pos="851"/>
        </w:tabs>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4.2在评审过程中，投标人不得以任何形式对评审小组成员进行旨在影响评审结果的私下接触，否则将取消其参与评审的资格。</w:t>
      </w:r>
    </w:p>
    <w:p>
      <w:pPr>
        <w:tabs>
          <w:tab w:val="left" w:pos="851"/>
        </w:tabs>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4.3</w:t>
      </w:r>
      <w:r>
        <w:rPr>
          <w:rFonts w:hint="eastAsia"/>
          <w:color w:val="000000" w:themeColor="text1"/>
          <w14:textFill>
            <w14:solidFill>
              <w14:schemeClr w14:val="tx1"/>
            </w14:solidFill>
          </w14:textFill>
        </w:rPr>
        <w:t>对各投标人的商业秘密，评审小组成员应予以保密，不得泄露给其他投标人。</w:t>
      </w:r>
    </w:p>
    <w:p>
      <w:pPr>
        <w:tabs>
          <w:tab w:val="left" w:pos="851"/>
        </w:tabs>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4.4 评审小组独立评判，推荐成交候选人，并写出书面报告。</w:t>
      </w:r>
    </w:p>
    <w:p>
      <w:pPr>
        <w:tabs>
          <w:tab w:val="left" w:pos="851"/>
        </w:tabs>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4.5 评审小组可根据需要对投标人进行实地考察。</w:t>
      </w:r>
    </w:p>
    <w:p>
      <w:pPr>
        <w:ind w:firstLine="480"/>
        <w:rPr>
          <w:rFonts w:ascii="宋体"/>
          <w:color w:val="000000" w:themeColor="text1"/>
          <w14:textFill>
            <w14:solidFill>
              <w14:schemeClr w14:val="tx1"/>
            </w14:solidFill>
          </w14:textFill>
        </w:rPr>
      </w:pPr>
    </w:p>
    <w:p>
      <w:pPr>
        <w:widowControl/>
        <w:ind w:firstLine="482"/>
        <w:rPr>
          <w:rFonts w:ascii="宋体" w:hAnsi="宋体"/>
          <w:b/>
          <w:color w:val="000000" w:themeColor="text1"/>
          <w:kern w:val="0"/>
          <w:lang w:val="zh-CN"/>
          <w14:textFill>
            <w14:solidFill>
              <w14:schemeClr w14:val="tx1"/>
            </w14:solidFill>
          </w14:textFill>
        </w:rPr>
      </w:pPr>
      <w:r>
        <w:rPr>
          <w:rFonts w:hint="eastAsia" w:ascii="宋体" w:hAnsi="宋体"/>
          <w:b/>
          <w:color w:val="000000" w:themeColor="text1"/>
          <w:kern w:val="0"/>
          <w:lang w:val="zh-CN"/>
          <w14:textFill>
            <w14:solidFill>
              <w14:schemeClr w14:val="tx1"/>
            </w14:solidFill>
          </w14:textFill>
        </w:rPr>
        <w:t>5.</w:t>
      </w:r>
      <w:bookmarkEnd w:id="131"/>
      <w:r>
        <w:rPr>
          <w:rFonts w:hint="eastAsia" w:ascii="宋体" w:hAnsi="宋体"/>
          <w:b/>
          <w:color w:val="000000" w:themeColor="text1"/>
          <w:kern w:val="0"/>
          <w:lang w:val="zh-CN"/>
          <w14:textFill>
            <w14:solidFill>
              <w14:schemeClr w14:val="tx1"/>
            </w14:solidFill>
          </w14:textFill>
        </w:rPr>
        <w:t>评审小组在评审活动中承担以下义务：</w:t>
      </w:r>
    </w:p>
    <w:p>
      <w:pPr>
        <w:tabs>
          <w:tab w:val="left" w:pos="7665"/>
        </w:tabs>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（一）遵守评审工作纪律；</w:t>
      </w:r>
    </w:p>
    <w:p>
      <w:pPr>
        <w:tabs>
          <w:tab w:val="left" w:pos="7665"/>
        </w:tabs>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（二）按照客观、公正、审慎的原则，根据评审文件规定的评审程序、评审方法和评审标准进行独立评审；</w:t>
      </w:r>
    </w:p>
    <w:p>
      <w:pPr>
        <w:tabs>
          <w:tab w:val="left" w:pos="7665"/>
        </w:tabs>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（三）不得泄露评审文件、评审情况和在评审过程中获悉的商业秘密；</w:t>
      </w:r>
    </w:p>
    <w:p>
      <w:pPr>
        <w:tabs>
          <w:tab w:val="left" w:pos="7665"/>
        </w:tabs>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（四）及时向财政部门报告评审过程中发现的评审人向评审专家做倾向性、误导性的解释或者说明，以及投标人行贿、提供虚假材料或者串通等违法行为；</w:t>
      </w:r>
    </w:p>
    <w:p>
      <w:pPr>
        <w:tabs>
          <w:tab w:val="left" w:pos="7665"/>
        </w:tabs>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（五）发现评审文件内容违反国家有关强制性规定或者评审文件存在歧义、重大缺陷导致评审工作无法进行时，向评审人书面说明情况并要求其澄清；</w:t>
      </w:r>
    </w:p>
    <w:p>
      <w:pPr>
        <w:tabs>
          <w:tab w:val="left" w:pos="7665"/>
        </w:tabs>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（六）及时向财政、监察等部门举报在评审过程中受到非法干预的情况；</w:t>
      </w:r>
    </w:p>
    <w:p>
      <w:pPr>
        <w:tabs>
          <w:tab w:val="left" w:pos="7665"/>
        </w:tabs>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（七）配合答复处理投标人的询问、质疑和投诉等事项；</w:t>
      </w:r>
    </w:p>
    <w:p>
      <w:pPr>
        <w:tabs>
          <w:tab w:val="left" w:pos="7665"/>
        </w:tabs>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（八）法律、法规和规章规定的其他义务。</w:t>
      </w:r>
    </w:p>
    <w:p>
      <w:pPr>
        <w:tabs>
          <w:tab w:val="left" w:pos="7665"/>
        </w:tabs>
        <w:ind w:firstLine="0" w:firstLineChars="0"/>
        <w:rPr>
          <w:rFonts w:ascii="宋体" w:hAnsi="宋体"/>
          <w:color w:val="000000" w:themeColor="text1"/>
          <w14:textFill>
            <w14:solidFill>
              <w14:schemeClr w14:val="tx1"/>
            </w14:solidFill>
          </w14:textFill>
        </w:rPr>
      </w:pPr>
    </w:p>
    <w:p>
      <w:pPr>
        <w:ind w:firstLine="482"/>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6.评审专家在评审活动中应当遵守以下工作纪律：</w:t>
      </w:r>
    </w:p>
    <w:p>
      <w:pPr>
        <w:tabs>
          <w:tab w:val="left" w:pos="7665"/>
        </w:tabs>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（一）不得参加与自己有利害关系的评审项目的评标活动。发现参加了与自己有利害关系的评审活动，须主动提出回避，退出评审；</w:t>
      </w:r>
    </w:p>
    <w:p>
      <w:pPr>
        <w:tabs>
          <w:tab w:val="left" w:pos="7665"/>
        </w:tabs>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（二）评审前，应当将通讯工具或者相关电子设备交由评审人统一保管；</w:t>
      </w:r>
    </w:p>
    <w:p>
      <w:pPr>
        <w:tabs>
          <w:tab w:val="left" w:pos="7665"/>
        </w:tabs>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（三）评审过程中，不得与外界联系，因发生不可预见情况，确实需要与外界联系的，应当在监督人员监督之下办理；</w:t>
      </w:r>
    </w:p>
    <w:p>
      <w:pPr>
        <w:tabs>
          <w:tab w:val="left" w:pos="7665"/>
        </w:tabs>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四）评审过程中，不得发表影响评审公正的倾向性、歧视性言论，不得征询或者接受评审人的倾向性意见，不得明示或暗示投标人在澄清时表达与其响应文件原义不同的意见，不得以评审文件没有规定的评审方法和标准作为评审的依据，不得修改或者细化评审程序、评审方法、评审因素和评审标准，不得违规撰写评审意见，不得拒绝对自己的评审意见签字确认；</w:t>
      </w:r>
    </w:p>
    <w:p>
      <w:pPr>
        <w:tabs>
          <w:tab w:val="left" w:pos="7665"/>
        </w:tabs>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（五）在评审过程中和评审结束后，不得记录、复制或带走任何评审资料，不得向外界透露评审内容；</w:t>
      </w:r>
    </w:p>
    <w:p>
      <w:pPr>
        <w:tabs>
          <w:tab w:val="left" w:pos="7665"/>
        </w:tabs>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（六）评审现场服从评审人工作人员的管理，接受现场监督人员的合法监督；</w:t>
      </w:r>
    </w:p>
    <w:p>
      <w:pPr>
        <w:tabs>
          <w:tab w:val="left" w:pos="7665"/>
        </w:tabs>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（七）遵守有关廉洁自律规定，不得私下接触投标人，不得收受投标人及有关业务单位和个人的财物或好处，不得接受评审人的请托。</w:t>
      </w:r>
    </w:p>
    <w:p>
      <w:pPr>
        <w:adjustRightInd w:val="0"/>
        <w:snapToGrid w:val="0"/>
        <w:ind w:firstLine="482"/>
        <w:rPr>
          <w:rFonts w:hAnsi="宋体"/>
          <w:b/>
          <w:bCs/>
          <w:color w:val="000000" w:themeColor="text1"/>
          <w14:textFill>
            <w14:solidFill>
              <w14:schemeClr w14:val="tx1"/>
            </w14:solidFill>
          </w14:textFill>
        </w:rPr>
      </w:pPr>
    </w:p>
    <w:p>
      <w:pPr>
        <w:pStyle w:val="2"/>
        <w:keepNext w:val="0"/>
        <w:keepLines w:val="0"/>
        <w:spacing w:before="0" w:after="0" w:line="440" w:lineRule="exact"/>
        <w:rPr>
          <w:rFonts w:ascii="宋体" w:hAnsi="Arial"/>
          <w:bCs w:val="0"/>
          <w:color w:val="000000" w:themeColor="text1"/>
          <w:kern w:val="2"/>
          <w:sz w:val="36"/>
          <w:szCs w:val="32"/>
          <w14:textFill>
            <w14:solidFill>
              <w14:schemeClr w14:val="tx1"/>
            </w14:solidFill>
          </w14:textFill>
        </w:rPr>
      </w:pPr>
      <w:bookmarkStart w:id="168" w:name="_Toc96446302"/>
      <w:r>
        <w:rPr>
          <w:rFonts w:hint="eastAsia" w:ascii="宋体" w:hAnsi="Arial"/>
          <w:bCs w:val="0"/>
          <w:color w:val="000000" w:themeColor="text1"/>
          <w:kern w:val="2"/>
          <w:sz w:val="36"/>
          <w:szCs w:val="32"/>
          <w14:textFill>
            <w14:solidFill>
              <w14:schemeClr w14:val="tx1"/>
            </w14:solidFill>
          </w14:textFill>
        </w:rPr>
        <w:br w:type="page"/>
      </w:r>
      <w:r>
        <w:rPr>
          <w:rFonts w:hint="eastAsia" w:ascii="宋体" w:hAnsi="Arial"/>
          <w:bCs w:val="0"/>
          <w:color w:val="000000" w:themeColor="text1"/>
          <w:kern w:val="2"/>
          <w:sz w:val="36"/>
          <w:szCs w:val="32"/>
          <w14:textFill>
            <w14:solidFill>
              <w14:schemeClr w14:val="tx1"/>
            </w14:solidFill>
          </w14:textFill>
        </w:rPr>
        <w:t>第七章  专用线（专用铁路）集装箱运输业务合作协议</w:t>
      </w:r>
    </w:p>
    <w:p>
      <w:pPr>
        <w:pStyle w:val="2"/>
        <w:keepNext w:val="0"/>
        <w:keepLines w:val="0"/>
        <w:spacing w:before="0" w:after="0" w:line="440" w:lineRule="exact"/>
        <w:rPr>
          <w:rFonts w:ascii="宋体" w:hAnsi="宋体"/>
          <w:b w:val="0"/>
          <w:color w:val="000000" w:themeColor="text1"/>
          <w:sz w:val="32"/>
          <w14:textFill>
            <w14:solidFill>
              <w14:schemeClr w14:val="tx1"/>
            </w14:solidFill>
          </w14:textFill>
        </w:rPr>
      </w:pPr>
      <w:r>
        <w:rPr>
          <w:rFonts w:hint="eastAsia" w:ascii="宋体" w:hAnsi="Arial"/>
          <w:bCs w:val="0"/>
          <w:color w:val="000000" w:themeColor="text1"/>
          <w:kern w:val="2"/>
          <w:sz w:val="36"/>
          <w:szCs w:val="32"/>
          <w14:textFill>
            <w14:solidFill>
              <w14:schemeClr w14:val="tx1"/>
            </w14:solidFill>
          </w14:textFill>
        </w:rPr>
        <w:t>（草案）</w:t>
      </w:r>
      <w:bookmarkEnd w:id="168"/>
    </w:p>
    <w:p>
      <w:pPr>
        <w:ind w:firstLine="480"/>
        <w:rPr>
          <w:color w:val="000000" w:themeColor="text1"/>
          <w14:textFill>
            <w14:solidFill>
              <w14:schemeClr w14:val="tx1"/>
            </w14:solidFill>
          </w14:textFill>
        </w:rPr>
      </w:pPr>
      <w:bookmarkStart w:id="169" w:name="_Hlt101846155"/>
      <w:bookmarkEnd w:id="169"/>
      <w:bookmarkStart w:id="170" w:name="_Toc96446303"/>
    </w:p>
    <w:bookmarkEnd w:id="170"/>
    <w:p>
      <w:pPr>
        <w:pStyle w:val="17"/>
        <w:spacing w:line="360" w:lineRule="auto"/>
        <w:ind w:left="0" w:leftChars="0" w:firstLine="482"/>
        <w:rPr>
          <w:rFonts w:ascii="宋体" w:hAnsi="宋体" w:cs="宋体"/>
          <w:b/>
          <w:bCs/>
          <w:color w:val="000000" w:themeColor="text1"/>
          <w:szCs w:val="22"/>
          <w14:textFill>
            <w14:solidFill>
              <w14:schemeClr w14:val="tx1"/>
            </w14:solidFill>
          </w14:textFill>
        </w:rPr>
      </w:pPr>
      <w:r>
        <w:rPr>
          <w:rFonts w:hint="eastAsia" w:ascii="宋体" w:hAnsi="宋体" w:cs="宋体"/>
          <w:b/>
          <w:bCs/>
          <w:color w:val="000000" w:themeColor="text1"/>
          <w:szCs w:val="22"/>
          <w14:textFill>
            <w14:solidFill>
              <w14:schemeClr w14:val="tx1"/>
            </w14:solidFill>
          </w14:textFill>
        </w:rPr>
        <w:t>（本协议为草案，仅供参考。合同的签订不得偏离招标文件要求、响应文件中的响应及承诺的实质性内容。）</w:t>
      </w:r>
    </w:p>
    <w:bookmarkEnd w:id="83"/>
    <w:bookmarkEnd w:id="84"/>
    <w:bookmarkEnd w:id="85"/>
    <w:bookmarkEnd w:id="86"/>
    <w:bookmarkEnd w:id="87"/>
    <w:bookmarkEnd w:id="115"/>
    <w:bookmarkEnd w:id="116"/>
    <w:bookmarkEnd w:id="117"/>
    <w:p>
      <w:pPr>
        <w:spacing w:line="360" w:lineRule="auto"/>
        <w:ind w:right="480" w:firstLine="0" w:firstLineChars="0"/>
        <w:rPr>
          <w:color w:val="000000" w:themeColor="text1"/>
          <w14:textFill>
            <w14:solidFill>
              <w14:schemeClr w14:val="tx1"/>
            </w14:solidFill>
          </w14:textFill>
        </w:rPr>
      </w:pPr>
    </w:p>
    <w:p>
      <w:pPr>
        <w:pStyle w:val="2"/>
      </w:pPr>
    </w:p>
    <w:p>
      <w:pPr>
        <w:ind w:firstLine="480"/>
      </w:pPr>
    </w:p>
    <w:p>
      <w:pPr>
        <w:pStyle w:val="2"/>
      </w:pPr>
    </w:p>
    <w:p>
      <w:pPr>
        <w:ind w:firstLine="480"/>
      </w:pPr>
    </w:p>
    <w:p>
      <w:pPr>
        <w:pStyle w:val="2"/>
      </w:pPr>
    </w:p>
    <w:p>
      <w:pPr>
        <w:ind w:firstLine="480"/>
      </w:pPr>
    </w:p>
    <w:p>
      <w:pPr>
        <w:pStyle w:val="2"/>
      </w:pPr>
    </w:p>
    <w:p>
      <w:pPr>
        <w:ind w:firstLine="480"/>
      </w:pPr>
    </w:p>
    <w:p>
      <w:pPr>
        <w:pStyle w:val="2"/>
      </w:pPr>
    </w:p>
    <w:p>
      <w:pPr>
        <w:ind w:firstLine="480"/>
      </w:pPr>
    </w:p>
    <w:p>
      <w:pPr>
        <w:pStyle w:val="2"/>
      </w:pPr>
    </w:p>
    <w:p>
      <w:pPr>
        <w:ind w:firstLine="480"/>
      </w:pPr>
    </w:p>
    <w:p>
      <w:pPr>
        <w:pStyle w:val="2"/>
      </w:pPr>
    </w:p>
    <w:p>
      <w:pPr>
        <w:ind w:firstLine="480"/>
      </w:pPr>
    </w:p>
    <w:p>
      <w:pPr>
        <w:spacing w:line="360" w:lineRule="auto"/>
        <w:ind w:firstLine="723"/>
        <w:jc w:val="center"/>
        <w:rPr>
          <w:rFonts w:ascii="宋体" w:hAnsi="宋体"/>
          <w:b/>
          <w:bCs/>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专用线（专用铁路）集装箱运输业务合作协议</w:t>
      </w:r>
    </w:p>
    <w:p>
      <w:pPr>
        <w:widowControl/>
        <w:wordWrap w:val="0"/>
        <w:ind w:firstLine="482"/>
        <w:jc w:val="right"/>
        <w:rPr>
          <w:rFonts w:ascii="宋体" w:hAnsi="宋体"/>
          <w:b/>
          <w:color w:val="000000" w:themeColor="text1"/>
          <w:u w:val="single"/>
          <w14:textFill>
            <w14:solidFill>
              <w14:schemeClr w14:val="tx1"/>
            </w14:solidFill>
          </w14:textFill>
        </w:rPr>
      </w:pPr>
      <w:r>
        <w:rPr>
          <w:rFonts w:hint="eastAsia" w:ascii="宋体" w:hAnsi="宋体"/>
          <w:b/>
          <w:color w:val="000000" w:themeColor="text1"/>
          <w14:textFill>
            <w14:solidFill>
              <w14:schemeClr w14:val="tx1"/>
            </w14:solidFill>
          </w14:textFill>
        </w:rPr>
        <w:t>协议编号</w:t>
      </w:r>
      <w:r>
        <w:rPr>
          <w:rFonts w:ascii="宋体" w:hAnsi="宋体"/>
          <w:b/>
          <w:color w:val="000000" w:themeColor="text1"/>
          <w14:textFill>
            <w14:solidFill>
              <w14:schemeClr w14:val="tx1"/>
            </w14:solidFill>
          </w14:textFill>
        </w:rPr>
        <w:t>:</w:t>
      </w:r>
      <w:r>
        <w:rPr>
          <w:rFonts w:ascii="宋体" w:hAnsi="宋体"/>
          <w:b/>
          <w:color w:val="000000" w:themeColor="text1"/>
          <w:u w:val="single"/>
          <w14:textFill>
            <w14:solidFill>
              <w14:schemeClr w14:val="tx1"/>
            </w14:solidFill>
          </w14:textFill>
        </w:rPr>
        <w:t xml:space="preserve"> </w:t>
      </w:r>
      <w:r>
        <w:rPr>
          <w:rFonts w:hint="eastAsia" w:ascii="宋体" w:hAnsi="宋体"/>
          <w:b/>
          <w:color w:val="000000" w:themeColor="text1"/>
          <w:u w:val="single"/>
          <w14:textFill>
            <w14:solidFill>
              <w14:schemeClr w14:val="tx1"/>
            </w14:solidFill>
          </w14:textFill>
        </w:rPr>
        <w:t xml:space="preserve">    </w:t>
      </w:r>
      <w:r>
        <w:rPr>
          <w:rFonts w:ascii="宋体" w:hAnsi="宋体"/>
          <w:b/>
          <w:color w:val="000000" w:themeColor="text1"/>
          <w:u w:val="single"/>
          <w14:textFill>
            <w14:solidFill>
              <w14:schemeClr w14:val="tx1"/>
            </w14:solidFill>
          </w14:textFill>
        </w:rPr>
        <w:tab/>
      </w:r>
      <w:r>
        <w:rPr>
          <w:rFonts w:hint="eastAsia" w:ascii="宋体" w:hAnsi="宋体"/>
          <w:b/>
          <w:color w:val="000000" w:themeColor="text1"/>
          <w:u w:val="single"/>
          <w14:textFill>
            <w14:solidFill>
              <w14:schemeClr w14:val="tx1"/>
            </w14:solidFill>
          </w14:textFill>
        </w:rPr>
        <w:t xml:space="preserve">       </w:t>
      </w:r>
    </w:p>
    <w:p>
      <w:pPr>
        <w:widowControl/>
        <w:ind w:firstLine="560"/>
        <w:rPr>
          <w:rFonts w:ascii="宋体" w:hAnsi="宋体"/>
          <w:color w:val="000000" w:themeColor="text1"/>
          <w:sz w:val="28"/>
          <w:szCs w:val="28"/>
          <w14:textFill>
            <w14:solidFill>
              <w14:schemeClr w14:val="tx1"/>
            </w14:solidFill>
          </w14:textFill>
        </w:rPr>
      </w:pPr>
    </w:p>
    <w:p>
      <w:pPr>
        <w:widowControl/>
        <w:ind w:firstLine="560"/>
        <w:rPr>
          <w:rFonts w:ascii="宋体" w:hAnsi="宋体"/>
          <w:color w:val="000000" w:themeColor="text1"/>
          <w:sz w:val="28"/>
          <w:szCs w:val="28"/>
          <w14:textFill>
            <w14:solidFill>
              <w14:schemeClr w14:val="tx1"/>
            </w14:solidFill>
          </w14:textFill>
        </w:rPr>
      </w:pPr>
    </w:p>
    <w:p>
      <w:pPr>
        <w:widowControl/>
        <w:ind w:firstLine="560"/>
        <w:rPr>
          <w:rFonts w:ascii="宋体" w:hAnsi="宋体"/>
          <w:color w:val="000000" w:themeColor="text1"/>
          <w:sz w:val="28"/>
          <w:szCs w:val="28"/>
          <w14:textFill>
            <w14:solidFill>
              <w14:schemeClr w14:val="tx1"/>
            </w14:solidFill>
          </w14:textFill>
        </w:rPr>
      </w:pPr>
    </w:p>
    <w:p>
      <w:pPr>
        <w:widowControl/>
        <w:spacing w:line="480" w:lineRule="exact"/>
        <w:ind w:firstLine="560"/>
        <w:rPr>
          <w:rFonts w:ascii="宋体" w:hAnsi="宋体"/>
          <w:color w:val="000000" w:themeColor="text1"/>
          <w:sz w:val="28"/>
          <w:szCs w:val="28"/>
          <w14:textFill>
            <w14:solidFill>
              <w14:schemeClr w14:val="tx1"/>
            </w14:solidFill>
          </w14:textFill>
        </w:rPr>
      </w:pPr>
    </w:p>
    <w:p>
      <w:pPr>
        <w:widowControl/>
        <w:spacing w:line="480" w:lineRule="exact"/>
        <w:ind w:firstLine="562"/>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甲</w:t>
      </w:r>
      <w:r>
        <w:rPr>
          <w:rFonts w:ascii="宋体" w:hAnsi="宋体"/>
          <w:b/>
          <w:color w:val="000000" w:themeColor="text1"/>
          <w:sz w:val="28"/>
          <w:szCs w:val="28"/>
          <w14:textFill>
            <w14:solidFill>
              <w14:schemeClr w14:val="tx1"/>
            </w14:solidFill>
          </w14:textFill>
        </w:rPr>
        <w:t xml:space="preserve">   方 ：</w:t>
      </w:r>
      <w:r>
        <w:rPr>
          <w:rFonts w:hint="eastAsia" w:ascii="宋体" w:hAnsi="宋体"/>
          <w:b/>
          <w:color w:val="000000" w:themeColor="text1"/>
          <w:sz w:val="28"/>
          <w:szCs w:val="28"/>
          <w:u w:val="single"/>
          <w14:textFill>
            <w14:solidFill>
              <w14:schemeClr w14:val="tx1"/>
            </w14:solidFill>
          </w14:textFill>
        </w:rPr>
        <w:t xml:space="preserve">                                        </w:t>
      </w:r>
    </w:p>
    <w:p>
      <w:pPr>
        <w:widowControl/>
        <w:spacing w:line="480" w:lineRule="exact"/>
        <w:ind w:firstLine="562"/>
        <w:rPr>
          <w:rFonts w:ascii="宋体" w:hAnsi="宋体"/>
          <w:b/>
          <w:color w:val="000000" w:themeColor="text1"/>
          <w:sz w:val="28"/>
          <w:szCs w:val="28"/>
          <w:u w:val="single"/>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法定代表人（负责人</w:t>
      </w:r>
      <w:r>
        <w:rPr>
          <w:rFonts w:ascii="宋体" w:hAnsi="宋体"/>
          <w:b/>
          <w:color w:val="000000" w:themeColor="text1"/>
          <w:sz w:val="28"/>
          <w:szCs w:val="28"/>
          <w14:textFill>
            <w14:solidFill>
              <w14:schemeClr w14:val="tx1"/>
            </w14:solidFill>
          </w14:textFill>
        </w:rPr>
        <w:t xml:space="preserve"> ）：</w:t>
      </w:r>
      <w:r>
        <w:rPr>
          <w:rFonts w:ascii="宋体" w:hAnsi="宋体"/>
          <w:b/>
          <w:color w:val="000000" w:themeColor="text1"/>
          <w:sz w:val="28"/>
          <w:szCs w:val="28"/>
          <w:u w:val="single"/>
          <w14:textFill>
            <w14:solidFill>
              <w14:schemeClr w14:val="tx1"/>
            </w14:solidFill>
          </w14:textFill>
        </w:rPr>
        <w:tab/>
      </w:r>
      <w:r>
        <w:rPr>
          <w:rFonts w:hint="eastAsia" w:ascii="宋体" w:hAnsi="宋体"/>
          <w:b/>
          <w:color w:val="000000" w:themeColor="text1"/>
          <w:sz w:val="28"/>
          <w:szCs w:val="28"/>
          <w:u w:val="single"/>
          <w14:textFill>
            <w14:solidFill>
              <w14:schemeClr w14:val="tx1"/>
            </w14:solidFill>
          </w14:textFill>
        </w:rPr>
        <w:t xml:space="preserve">                                      </w:t>
      </w:r>
      <w:r>
        <w:rPr>
          <w:rFonts w:ascii="宋体" w:hAnsi="宋体"/>
          <w:b/>
          <w:color w:val="000000" w:themeColor="text1"/>
          <w:sz w:val="28"/>
          <w:szCs w:val="28"/>
          <w:u w:val="single"/>
          <w14:textFill>
            <w14:solidFill>
              <w14:schemeClr w14:val="tx1"/>
            </w14:solidFill>
          </w14:textFill>
        </w:rPr>
        <w:t xml:space="preserve"> </w:t>
      </w:r>
    </w:p>
    <w:p>
      <w:pPr>
        <w:widowControl/>
        <w:spacing w:line="480" w:lineRule="exact"/>
        <w:ind w:firstLine="562"/>
        <w:rPr>
          <w:rFonts w:ascii="宋体" w:hAnsi="宋体"/>
          <w:b/>
          <w:color w:val="000000" w:themeColor="text1"/>
          <w:sz w:val="28"/>
          <w:szCs w:val="28"/>
          <w:u w:val="single"/>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住</w:t>
      </w:r>
      <w:r>
        <w:rPr>
          <w:rFonts w:ascii="宋体" w:hAnsi="宋体"/>
          <w:b/>
          <w:color w:val="000000" w:themeColor="text1"/>
          <w:sz w:val="28"/>
          <w:szCs w:val="28"/>
          <w14:textFill>
            <w14:solidFill>
              <w14:schemeClr w14:val="tx1"/>
            </w14:solidFill>
          </w14:textFill>
        </w:rPr>
        <w:t>所：</w:t>
      </w:r>
      <w:r>
        <w:rPr>
          <w:rFonts w:ascii="宋体" w:hAnsi="宋体"/>
          <w:b/>
          <w:color w:val="000000" w:themeColor="text1"/>
          <w:sz w:val="28"/>
          <w:szCs w:val="28"/>
          <w:u w:val="single"/>
          <w14:textFill>
            <w14:solidFill>
              <w14:schemeClr w14:val="tx1"/>
            </w14:solidFill>
          </w14:textFill>
        </w:rPr>
        <w:t xml:space="preserve">       </w:t>
      </w:r>
      <w:r>
        <w:rPr>
          <w:rFonts w:hint="eastAsia" w:ascii="宋体" w:hAnsi="宋体"/>
          <w:b/>
          <w:color w:val="000000" w:themeColor="text1"/>
          <w:sz w:val="28"/>
          <w:szCs w:val="28"/>
          <w:u w:val="single"/>
          <w14:textFill>
            <w14:solidFill>
              <w14:schemeClr w14:val="tx1"/>
            </w14:solidFill>
          </w14:textFill>
        </w:rPr>
        <w:t xml:space="preserve">                             </w:t>
      </w:r>
    </w:p>
    <w:p>
      <w:pPr>
        <w:widowControl/>
        <w:ind w:firstLine="562"/>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 xml:space="preserve"> </w:t>
      </w:r>
    </w:p>
    <w:p>
      <w:pPr>
        <w:widowControl/>
        <w:ind w:firstLine="562"/>
        <w:rPr>
          <w:rFonts w:ascii="宋体" w:hAnsi="宋体"/>
          <w:b/>
          <w:color w:val="000000" w:themeColor="text1"/>
          <w:sz w:val="28"/>
          <w:szCs w:val="28"/>
          <w14:textFill>
            <w14:solidFill>
              <w14:schemeClr w14:val="tx1"/>
            </w14:solidFill>
          </w14:textFill>
        </w:rPr>
      </w:pPr>
    </w:p>
    <w:p>
      <w:pPr>
        <w:widowControl/>
        <w:ind w:firstLine="562"/>
        <w:rPr>
          <w:rFonts w:ascii="宋体" w:hAnsi="宋体"/>
          <w:b/>
          <w:color w:val="000000" w:themeColor="text1"/>
          <w:sz w:val="28"/>
          <w:szCs w:val="28"/>
          <w14:textFill>
            <w14:solidFill>
              <w14:schemeClr w14:val="tx1"/>
            </w14:solidFill>
          </w14:textFill>
        </w:rPr>
      </w:pPr>
    </w:p>
    <w:p>
      <w:pPr>
        <w:widowControl/>
        <w:ind w:firstLine="562"/>
        <w:rPr>
          <w:rFonts w:ascii="宋体" w:hAnsi="宋体"/>
          <w:b/>
          <w:color w:val="000000" w:themeColor="text1"/>
          <w:sz w:val="28"/>
          <w:szCs w:val="28"/>
          <w14:textFill>
            <w14:solidFill>
              <w14:schemeClr w14:val="tx1"/>
            </w14:solidFill>
          </w14:textFill>
        </w:rPr>
      </w:pPr>
    </w:p>
    <w:p>
      <w:pPr>
        <w:widowControl/>
        <w:spacing w:line="480" w:lineRule="exact"/>
        <w:ind w:firstLine="562"/>
        <w:rPr>
          <w:rFonts w:ascii="宋体" w:hAnsi="宋体"/>
          <w:b/>
          <w:color w:val="000000" w:themeColor="text1"/>
          <w:sz w:val="28"/>
          <w:szCs w:val="28"/>
          <w:u w:val="single"/>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乙</w:t>
      </w:r>
      <w:r>
        <w:rPr>
          <w:rFonts w:ascii="宋体" w:hAnsi="宋体"/>
          <w:b/>
          <w:color w:val="000000" w:themeColor="text1"/>
          <w:sz w:val="28"/>
          <w:szCs w:val="28"/>
          <w14:textFill>
            <w14:solidFill>
              <w14:schemeClr w14:val="tx1"/>
            </w14:solidFill>
          </w14:textFill>
        </w:rPr>
        <w:t xml:space="preserve">   方 ：</w:t>
      </w:r>
      <w:r>
        <w:rPr>
          <w:rFonts w:ascii="宋体" w:hAnsi="宋体"/>
          <w:b/>
          <w:color w:val="000000" w:themeColor="text1"/>
          <w:sz w:val="28"/>
          <w:szCs w:val="28"/>
          <w:u w:val="thick"/>
          <w14:textFill>
            <w14:solidFill>
              <w14:schemeClr w14:val="tx1"/>
            </w14:solidFill>
          </w14:textFill>
        </w:rPr>
        <w:t xml:space="preserve">                                      </w:t>
      </w:r>
    </w:p>
    <w:p>
      <w:pPr>
        <w:widowControl/>
        <w:spacing w:line="480" w:lineRule="exact"/>
        <w:ind w:firstLine="562"/>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法定代表人（负责人</w:t>
      </w:r>
      <w:r>
        <w:rPr>
          <w:rFonts w:ascii="宋体" w:hAnsi="宋体"/>
          <w:b/>
          <w:color w:val="000000" w:themeColor="text1"/>
          <w:sz w:val="28"/>
          <w:szCs w:val="28"/>
          <w14:textFill>
            <w14:solidFill>
              <w14:schemeClr w14:val="tx1"/>
            </w14:solidFill>
          </w14:textFill>
        </w:rPr>
        <w:t xml:space="preserve"> ）：</w:t>
      </w:r>
      <w:r>
        <w:rPr>
          <w:rFonts w:ascii="宋体" w:hAnsi="宋体"/>
          <w:b/>
          <w:color w:val="000000" w:themeColor="text1"/>
          <w:sz w:val="28"/>
          <w:szCs w:val="28"/>
          <w:u w:val="single"/>
          <w14:textFill>
            <w14:solidFill>
              <w14:schemeClr w14:val="tx1"/>
            </w14:solidFill>
          </w14:textFill>
        </w:rPr>
        <w:tab/>
      </w:r>
      <w:r>
        <w:rPr>
          <w:rFonts w:ascii="宋体" w:hAnsi="宋体"/>
          <w:b/>
          <w:color w:val="000000" w:themeColor="text1"/>
          <w:sz w:val="28"/>
          <w:szCs w:val="28"/>
          <w:u w:val="single"/>
          <w14:textFill>
            <w14:solidFill>
              <w14:schemeClr w14:val="tx1"/>
            </w14:solidFill>
          </w14:textFill>
        </w:rPr>
        <w:t xml:space="preserve"> </w:t>
      </w:r>
      <w:r>
        <w:rPr>
          <w:rFonts w:hint="eastAsia" w:ascii="宋体" w:hAnsi="宋体"/>
          <w:b/>
          <w:color w:val="000000" w:themeColor="text1"/>
          <w:sz w:val="28"/>
          <w:szCs w:val="28"/>
          <w:u w:val="single"/>
          <w14:textFill>
            <w14:solidFill>
              <w14:schemeClr w14:val="tx1"/>
            </w14:solidFill>
          </w14:textFill>
        </w:rPr>
        <w:t xml:space="preserve">                                     </w:t>
      </w:r>
      <w:r>
        <w:rPr>
          <w:rFonts w:hint="eastAsia" w:ascii="宋体" w:hAnsi="宋体"/>
          <w:b/>
          <w:color w:val="000000" w:themeColor="text1"/>
          <w:sz w:val="28"/>
          <w:szCs w:val="28"/>
          <w14:textFill>
            <w14:solidFill>
              <w14:schemeClr w14:val="tx1"/>
            </w14:solidFill>
          </w14:textFill>
        </w:rPr>
        <w:t>住</w:t>
      </w:r>
      <w:r>
        <w:rPr>
          <w:rFonts w:ascii="宋体" w:hAnsi="宋体"/>
          <w:b/>
          <w:color w:val="000000" w:themeColor="text1"/>
          <w:sz w:val="28"/>
          <w:szCs w:val="28"/>
          <w14:textFill>
            <w14:solidFill>
              <w14:schemeClr w14:val="tx1"/>
            </w14:solidFill>
          </w14:textFill>
        </w:rPr>
        <w:t>所：</w:t>
      </w:r>
      <w:r>
        <w:rPr>
          <w:rFonts w:ascii="宋体" w:hAnsi="宋体"/>
          <w:b/>
          <w:color w:val="000000" w:themeColor="text1"/>
          <w:sz w:val="28"/>
          <w:szCs w:val="28"/>
          <w:u w:val="single"/>
          <w14:textFill>
            <w14:solidFill>
              <w14:schemeClr w14:val="tx1"/>
            </w14:solidFill>
          </w14:textFill>
        </w:rPr>
        <w:t xml:space="preserve">         </w:t>
      </w:r>
      <w:r>
        <w:rPr>
          <w:rFonts w:hint="eastAsia" w:ascii="宋体" w:hAnsi="宋体"/>
          <w:b/>
          <w:color w:val="000000" w:themeColor="text1"/>
          <w:sz w:val="28"/>
          <w:szCs w:val="28"/>
          <w:u w:val="single"/>
          <w14:textFill>
            <w14:solidFill>
              <w14:schemeClr w14:val="tx1"/>
            </w14:solidFill>
          </w14:textFill>
        </w:rPr>
        <w:t xml:space="preserve">                     </w:t>
      </w:r>
      <w:r>
        <w:rPr>
          <w:rFonts w:hint="eastAsia" w:ascii="宋体" w:hAnsi="宋体"/>
          <w:b/>
          <w:color w:val="000000" w:themeColor="text1"/>
          <w:sz w:val="28"/>
          <w:szCs w:val="28"/>
          <w14:textFill>
            <w14:solidFill>
              <w14:schemeClr w14:val="tx1"/>
            </w14:solidFill>
          </w14:textFill>
        </w:rPr>
        <w:t xml:space="preserve"> </w:t>
      </w:r>
      <w:r>
        <w:rPr>
          <w:rFonts w:ascii="宋体" w:hAnsi="宋体"/>
          <w:b/>
          <w:color w:val="000000" w:themeColor="text1"/>
          <w:sz w:val="28"/>
          <w:szCs w:val="28"/>
          <w14:textFill>
            <w14:solidFill>
              <w14:schemeClr w14:val="tx1"/>
            </w14:solidFill>
          </w14:textFill>
        </w:rPr>
        <w:t xml:space="preserve"> </w:t>
      </w:r>
      <w:r>
        <w:rPr>
          <w:rFonts w:ascii="宋体" w:hAnsi="宋体"/>
          <w:b/>
          <w:color w:val="000000" w:themeColor="text1"/>
          <w:sz w:val="28"/>
          <w:szCs w:val="28"/>
          <w14:textFill>
            <w14:solidFill>
              <w14:schemeClr w14:val="tx1"/>
            </w14:solidFill>
          </w14:textFill>
        </w:rPr>
        <w:tab/>
      </w:r>
    </w:p>
    <w:p>
      <w:pPr>
        <w:widowControl/>
        <w:ind w:firstLine="562"/>
        <w:rPr>
          <w:rFonts w:ascii="宋体" w:hAnsi="宋体"/>
          <w:b/>
          <w:color w:val="000000" w:themeColor="text1"/>
          <w:sz w:val="28"/>
          <w:szCs w:val="28"/>
          <w14:textFill>
            <w14:solidFill>
              <w14:schemeClr w14:val="tx1"/>
            </w14:solidFill>
          </w14:textFill>
        </w:rPr>
      </w:pPr>
    </w:p>
    <w:p>
      <w:pPr>
        <w:widowControl/>
        <w:ind w:firstLine="560"/>
        <w:rPr>
          <w:rFonts w:ascii="宋体" w:hAnsi="宋体"/>
          <w:color w:val="000000" w:themeColor="text1"/>
          <w:sz w:val="28"/>
          <w:szCs w:val="28"/>
          <w14:textFill>
            <w14:solidFill>
              <w14:schemeClr w14:val="tx1"/>
            </w14:solidFill>
          </w14:textFill>
        </w:rPr>
      </w:pPr>
    </w:p>
    <w:p>
      <w:pPr>
        <w:widowControl/>
        <w:ind w:firstLine="562"/>
        <w:jc w:val="center"/>
        <w:rPr>
          <w:rFonts w:ascii="宋体" w:hAnsi="宋体"/>
          <w:b/>
          <w:color w:val="000000" w:themeColor="text1"/>
          <w:sz w:val="28"/>
          <w:szCs w:val="28"/>
          <w:u w:val="single"/>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签订地点：</w:t>
      </w:r>
      <w:r>
        <w:rPr>
          <w:rFonts w:ascii="宋体" w:hAnsi="宋体"/>
          <w:b/>
          <w:color w:val="000000" w:themeColor="text1"/>
          <w:sz w:val="28"/>
          <w:szCs w:val="28"/>
          <w:u w:val="single"/>
          <w14:textFill>
            <w14:solidFill>
              <w14:schemeClr w14:val="tx1"/>
            </w14:solidFill>
          </w14:textFill>
        </w:rPr>
        <w:tab/>
      </w:r>
      <w:r>
        <w:rPr>
          <w:rFonts w:hint="eastAsia" w:ascii="宋体" w:hAnsi="宋体"/>
          <w:b/>
          <w:color w:val="000000" w:themeColor="text1"/>
          <w:sz w:val="28"/>
          <w:szCs w:val="28"/>
          <w:u w:val="single"/>
          <w14:textFill>
            <w14:solidFill>
              <w14:schemeClr w14:val="tx1"/>
            </w14:solidFill>
          </w14:textFill>
        </w:rPr>
        <w:t xml:space="preserve">  眉山   </w:t>
      </w:r>
    </w:p>
    <w:p>
      <w:pPr>
        <w:widowControl/>
        <w:ind w:firstLine="56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w:t>
      </w:r>
      <w:r>
        <w:rPr>
          <w:color w:val="000000" w:themeColor="text1"/>
          <w:sz w:val="28"/>
          <w:szCs w:val="28"/>
          <w14:textFill>
            <w14:solidFill>
              <w14:schemeClr w14:val="tx1"/>
            </w14:solidFill>
          </w14:textFill>
        </w:rPr>
        <w:br w:type="page"/>
      </w:r>
    </w:p>
    <w:p>
      <w:pPr>
        <w:spacing w:line="480" w:lineRule="exact"/>
        <w:ind w:firstLine="560"/>
        <w:jc w:val="both"/>
        <w:rPr>
          <w:rFonts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根据《中华人民共和国民法典》及中国国家铁路集团有限公司（以下简称国铁集团）、中国铁路成都局集团有限公司关于专用线（专用铁路）运营的相关规定，甲方与乙方本着平等互利、自愿有偿、诚实信用的原则，就</w:t>
      </w:r>
      <w:r>
        <w:rPr>
          <w:rFonts w:hint="eastAsia" w:ascii="宋体" w:hAnsi="宋体"/>
          <w:color w:val="000000" w:themeColor="text1"/>
          <w:sz w:val="28"/>
          <w:szCs w:val="28"/>
          <w:u w:val="single"/>
          <w14:textFill>
            <w14:solidFill>
              <w14:schemeClr w14:val="tx1"/>
            </w14:solidFill>
          </w14:textFill>
        </w:rPr>
        <w:t xml:space="preserve">     </w:t>
      </w:r>
      <w:r>
        <w:rPr>
          <w:rFonts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xml:space="preserve">                            </w:t>
      </w:r>
      <w:r>
        <w:rPr>
          <w:rFonts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专用铁路集装箱运输业务合作事宜，经协商达成一致，签订本协议。</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第一条 合作内容</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r>
        <w:rPr>
          <w:rFonts w:hint="eastAsia" w:ascii="宋体" w:hAnsi="宋体" w:cs="华文仿宋"/>
          <w:bCs/>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甲方负责客户的开发及引进：</w:t>
      </w:r>
    </w:p>
    <w:p>
      <w:pPr>
        <w:spacing w:line="480" w:lineRule="exact"/>
        <w:ind w:firstLine="338" w:firstLineChars="121"/>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（1）甲方引入货源为眉山地区客户，运输货物类型为普通货物。</w:t>
      </w:r>
    </w:p>
    <w:p>
      <w:pPr>
        <w:spacing w:line="480" w:lineRule="exact"/>
        <w:ind w:firstLine="280" w:firstLineChars="10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（2）2023年争取为乙方引入集装箱铁路到达和发运量共计约10000标箱，营业收入不低于5000万元。（注：20英尺集装箱为</w:t>
      </w: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标箱；40英尺集装箱为2标箱）</w:t>
      </w:r>
    </w:p>
    <w:p>
      <w:pPr>
        <w:spacing w:line="480" w:lineRule="exact"/>
        <w:ind w:firstLine="280" w:firstLineChars="10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（3）202</w:t>
      </w:r>
      <w:r>
        <w:rPr>
          <w:rFonts w:ascii="宋体" w:hAnsi="宋体"/>
          <w:color w:val="000000" w:themeColor="text1"/>
          <w:sz w:val="28"/>
          <w:szCs w:val="28"/>
          <w14:textFill>
            <w14:solidFill>
              <w14:schemeClr w14:val="tx1"/>
            </w14:solidFill>
          </w14:textFill>
        </w:rPr>
        <w:t>4</w:t>
      </w:r>
      <w:r>
        <w:rPr>
          <w:rFonts w:hint="eastAsia" w:ascii="宋体" w:hAnsi="宋体"/>
          <w:color w:val="000000" w:themeColor="text1"/>
          <w:sz w:val="28"/>
          <w:szCs w:val="28"/>
          <w14:textFill>
            <w14:solidFill>
              <w14:schemeClr w14:val="tx1"/>
            </w14:solidFill>
          </w14:textFill>
        </w:rPr>
        <w:t>年起每年争取为乙方引入集装箱铁路到达和发运量不低于</w:t>
      </w: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0000标箱，营业收入争取达到</w:t>
      </w: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亿元/年。</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Fonts w:hint="eastAsia" w:ascii="宋体" w:hAnsi="宋体" w:cs="华文仿宋"/>
          <w:bCs/>
          <w:color w:val="000000" w:themeColor="text1"/>
          <w:sz w:val="28"/>
          <w:szCs w:val="28"/>
          <w14:textFill>
            <w14:solidFill>
              <w14:schemeClr w14:val="tx1"/>
            </w14:solidFill>
          </w14:textFill>
        </w:rPr>
        <w:t xml:space="preserve"> 乙方在不影响自身生产物资铁路到达作业的情况下，为甲方提供机车取送车及对位，提供厂内堆放场地以便于集装箱运输业务的开展。乙方自协议签订后提供不低于5000平方的场地（含照明、围栏等配套设施）作为集装箱运输业务的转运场地，并根据业务量的扩大相应增加转运场地。</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第二条 协议期限</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自</w:t>
      </w:r>
      <w:r>
        <w:rPr>
          <w:rFonts w:hint="eastAsia" w:ascii="宋体" w:hAnsi="宋体"/>
          <w:color w:val="000000" w:themeColor="text1"/>
          <w:sz w:val="28"/>
          <w:szCs w:val="28"/>
          <w:u w:val="single"/>
          <w14:textFill>
            <w14:solidFill>
              <w14:schemeClr w14:val="tx1"/>
            </w14:solidFill>
          </w14:textFill>
        </w:rPr>
        <w:t xml:space="preserve"> 2023 </w:t>
      </w:r>
      <w:r>
        <w:rPr>
          <w:rFonts w:hint="eastAsia" w:ascii="宋体" w:hAnsi="宋体"/>
          <w:color w:val="000000" w:themeColor="text1"/>
          <w:sz w:val="28"/>
          <w:szCs w:val="28"/>
          <w14:textFill>
            <w14:solidFill>
              <w14:schemeClr w14:val="tx1"/>
            </w14:solidFill>
          </w14:textFill>
        </w:rPr>
        <w:t>年</w:t>
      </w:r>
      <w:r>
        <w:rPr>
          <w:rFonts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月</w:t>
      </w:r>
      <w:r>
        <w:rPr>
          <w:rFonts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日起至</w:t>
      </w:r>
      <w:r>
        <w:rPr>
          <w:rFonts w:hint="eastAsia" w:ascii="宋体" w:hAnsi="宋体"/>
          <w:color w:val="000000" w:themeColor="text1"/>
          <w:sz w:val="28"/>
          <w:szCs w:val="28"/>
          <w:u w:val="single"/>
          <w14:textFill>
            <w14:solidFill>
              <w14:schemeClr w14:val="tx1"/>
            </w14:solidFill>
          </w14:textFill>
        </w:rPr>
        <w:t xml:space="preserve"> 2028 </w:t>
      </w:r>
      <w:r>
        <w:rPr>
          <w:rFonts w:hint="eastAsia" w:ascii="宋体" w:hAnsi="宋体"/>
          <w:color w:val="000000" w:themeColor="text1"/>
          <w:sz w:val="28"/>
          <w:szCs w:val="28"/>
          <w14:textFill>
            <w14:solidFill>
              <w14:schemeClr w14:val="tx1"/>
            </w14:solidFill>
          </w14:textFill>
        </w:rPr>
        <w:t>年</w:t>
      </w:r>
      <w:r>
        <w:rPr>
          <w:rFonts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月</w:t>
      </w:r>
      <w:r>
        <w:rPr>
          <w:rFonts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日止。</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第三条  费用及核算周期、结算方式</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1．费用：</w:t>
      </w:r>
    </w:p>
    <w:p>
      <w:pPr>
        <w:spacing w:line="480" w:lineRule="exact"/>
        <w:ind w:firstLine="280" w:firstLineChars="10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（1）甲方的集装箱到达业务，机车取送费（含</w:t>
      </w:r>
      <w:r>
        <w:rPr>
          <w:rFonts w:hint="eastAsia" w:ascii="宋体" w:hAnsi="宋体"/>
          <w:color w:val="000000" w:themeColor="text1"/>
          <w:sz w:val="28"/>
          <w:szCs w:val="28"/>
          <w:u w:val="single"/>
          <w14:textFill>
            <w14:solidFill>
              <w14:schemeClr w14:val="tx1"/>
            </w14:solidFill>
          </w14:textFill>
        </w:rPr>
        <w:t>9%</w:t>
      </w:r>
      <w:r>
        <w:rPr>
          <w:rFonts w:hint="eastAsia" w:ascii="宋体" w:hAnsi="宋体"/>
          <w:color w:val="000000" w:themeColor="text1"/>
          <w:sz w:val="28"/>
          <w:szCs w:val="28"/>
          <w14:textFill>
            <w14:solidFill>
              <w14:schemeClr w14:val="tx1"/>
            </w14:solidFill>
          </w14:textFill>
        </w:rPr>
        <w:t>增值税）按</w:t>
      </w:r>
      <w:r>
        <w:rPr>
          <w:rFonts w:hint="eastAsia" w:ascii="宋体" w:hAnsi="宋体"/>
          <w:color w:val="000000" w:themeColor="text1"/>
          <w:sz w:val="28"/>
          <w:szCs w:val="28"/>
          <w:u w:val="single"/>
          <w14:textFill>
            <w14:solidFill>
              <w14:schemeClr w14:val="tx1"/>
            </w14:solidFill>
          </w14:textFill>
        </w:rPr>
        <w:t xml:space="preserve">  </w:t>
      </w:r>
      <w:r>
        <w:rPr>
          <w:rFonts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元/标箱标准收取。</w:t>
      </w:r>
    </w:p>
    <w:p>
      <w:pPr>
        <w:spacing w:line="480" w:lineRule="exact"/>
        <w:ind w:left="140" w:hanging="140" w:hangingChars="5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（2）甲方的集装箱发运业务，机车取送费（含</w:t>
      </w:r>
      <w:r>
        <w:rPr>
          <w:rFonts w:hint="eastAsia" w:ascii="宋体" w:hAnsi="宋体"/>
          <w:color w:val="000000" w:themeColor="text1"/>
          <w:sz w:val="28"/>
          <w:szCs w:val="28"/>
          <w:u w:val="single"/>
          <w14:textFill>
            <w14:solidFill>
              <w14:schemeClr w14:val="tx1"/>
            </w14:solidFill>
          </w14:textFill>
        </w:rPr>
        <w:t>9%</w:t>
      </w:r>
      <w:r>
        <w:rPr>
          <w:rFonts w:hint="eastAsia" w:ascii="宋体" w:hAnsi="宋体"/>
          <w:color w:val="000000" w:themeColor="text1"/>
          <w:sz w:val="28"/>
          <w:szCs w:val="28"/>
          <w14:textFill>
            <w14:solidFill>
              <w14:schemeClr w14:val="tx1"/>
            </w14:solidFill>
          </w14:textFill>
        </w:rPr>
        <w:t>增值税）按</w:t>
      </w:r>
      <w:r>
        <w:rPr>
          <w:rFonts w:hint="eastAsia" w:ascii="宋体" w:hAnsi="宋体"/>
          <w:color w:val="000000" w:themeColor="text1"/>
          <w:sz w:val="28"/>
          <w:szCs w:val="28"/>
          <w:u w:val="single"/>
          <w14:textFill>
            <w14:solidFill>
              <w14:schemeClr w14:val="tx1"/>
            </w14:solidFill>
          </w14:textFill>
        </w:rPr>
        <w:t xml:space="preserve"> </w:t>
      </w:r>
      <w:r>
        <w:rPr>
          <w:rFonts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元/标箱标准收取。</w:t>
      </w:r>
    </w:p>
    <w:p>
      <w:pPr>
        <w:spacing w:line="480" w:lineRule="exact"/>
        <w:ind w:firstLine="280" w:firstLineChars="10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（3）铁路运输费、车辆延时占用费、集装箱箱延费等铁路运杂费（含</w:t>
      </w:r>
      <w:r>
        <w:rPr>
          <w:rFonts w:hint="eastAsia" w:ascii="宋体" w:hAnsi="宋体"/>
          <w:color w:val="000000" w:themeColor="text1"/>
          <w:sz w:val="28"/>
          <w:szCs w:val="28"/>
          <w:u w:val="single"/>
          <w14:textFill>
            <w14:solidFill>
              <w14:schemeClr w14:val="tx1"/>
            </w14:solidFill>
          </w14:textFill>
        </w:rPr>
        <w:t>9%</w:t>
      </w:r>
      <w:r>
        <w:rPr>
          <w:rFonts w:hint="eastAsia" w:ascii="宋体" w:hAnsi="宋体"/>
          <w:color w:val="000000" w:themeColor="text1"/>
          <w:sz w:val="28"/>
          <w:szCs w:val="28"/>
          <w14:textFill>
            <w14:solidFill>
              <w14:schemeClr w14:val="tx1"/>
            </w14:solidFill>
          </w14:textFill>
        </w:rPr>
        <w:t>增值税）用按铁路实际的收费标准由乙方向甲方核收。</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2．核算周期:</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每月</w:t>
      </w:r>
      <w:r>
        <w:rPr>
          <w:rFonts w:hint="eastAsia" w:ascii="宋体" w:hAnsi="宋体"/>
          <w:color w:val="000000" w:themeColor="text1"/>
          <w:sz w:val="28"/>
          <w:szCs w:val="28"/>
          <w:u w:val="single"/>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日到月末为一个核算周期；</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3．结算方式：</w:t>
      </w:r>
    </w:p>
    <w:p>
      <w:pPr>
        <w:spacing w:line="480" w:lineRule="exact"/>
        <w:ind w:firstLine="280" w:firstLineChars="10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 铁路运输费、车辆延时占用费、集装箱箱延费等铁路运杂费用，由甲方提前支付到乙方指定铁路业务专用账户，乙方在收到成都铁路发票后10个工作日内向甲方开具发票。</w:t>
      </w:r>
    </w:p>
    <w:p>
      <w:pPr>
        <w:spacing w:line="480" w:lineRule="exact"/>
        <w:ind w:firstLine="280" w:firstLineChars="10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 机车取送费。每月</w:t>
      </w:r>
      <w:r>
        <w:rPr>
          <w:rFonts w:hint="eastAsia" w:ascii="宋体" w:hAnsi="宋体"/>
          <w:color w:val="000000" w:themeColor="text1"/>
          <w:sz w:val="28"/>
          <w:szCs w:val="28"/>
          <w:u w:val="single"/>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日（节假日顺延）前双方对上一核算周期作业量及费用进行核对，双方盖章确认，并附上明细。甲方在收到乙方发票后10个工作日内付款到乙方指定收款账户。</w:t>
      </w:r>
    </w:p>
    <w:p>
      <w:pPr>
        <w:spacing w:line="480" w:lineRule="exact"/>
        <w:ind w:firstLine="280" w:firstLineChars="10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 甲、乙双方同意，约定确定发票开具。</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甲方银行账户及发票开票信息如下：</w:t>
      </w:r>
    </w:p>
    <w:p>
      <w:pPr>
        <w:spacing w:line="480" w:lineRule="exact"/>
        <w:ind w:firstLine="560"/>
        <w:jc w:val="both"/>
        <w:rPr>
          <w:rFonts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单位名称：</w:t>
      </w:r>
      <w:r>
        <w:rPr>
          <w:rFonts w:hint="eastAsia" w:ascii="宋体" w:hAnsi="宋体"/>
          <w:color w:val="000000" w:themeColor="text1"/>
          <w:sz w:val="28"/>
          <w:szCs w:val="28"/>
          <w:u w:val="single"/>
          <w14:textFill>
            <w14:solidFill>
              <w14:schemeClr w14:val="tx1"/>
            </w14:solidFill>
          </w14:textFill>
        </w:rPr>
        <w:t xml:space="preserve">                                       </w:t>
      </w:r>
    </w:p>
    <w:p>
      <w:pPr>
        <w:spacing w:line="480" w:lineRule="exact"/>
        <w:ind w:firstLine="560"/>
        <w:jc w:val="both"/>
        <w:rPr>
          <w:rFonts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统一社会信用代码：</w:t>
      </w:r>
      <w:r>
        <w:rPr>
          <w:rFonts w:hint="eastAsia" w:ascii="宋体" w:hAnsi="宋体"/>
          <w:color w:val="000000" w:themeColor="text1"/>
          <w:sz w:val="28"/>
          <w:szCs w:val="28"/>
          <w:u w:val="single"/>
          <w14:textFill>
            <w14:solidFill>
              <w14:schemeClr w14:val="tx1"/>
            </w14:solidFill>
          </w14:textFill>
        </w:rPr>
        <w:tab/>
      </w:r>
      <w:r>
        <w:rPr>
          <w:rFonts w:hint="eastAsia" w:ascii="宋体" w:hAnsi="宋体"/>
          <w:color w:val="000000" w:themeColor="text1"/>
          <w:sz w:val="28"/>
          <w:szCs w:val="28"/>
          <w:u w:val="single"/>
          <w14:textFill>
            <w14:solidFill>
              <w14:schemeClr w14:val="tx1"/>
            </w14:solidFill>
          </w14:textFill>
        </w:rPr>
        <w:t xml:space="preserve">                     </w:t>
      </w:r>
    </w:p>
    <w:p>
      <w:pPr>
        <w:spacing w:line="480" w:lineRule="exact"/>
        <w:ind w:firstLine="560"/>
        <w:jc w:val="both"/>
        <w:rPr>
          <w:rFonts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开户银行：</w:t>
      </w:r>
      <w:r>
        <w:rPr>
          <w:rFonts w:hint="eastAsia" w:ascii="宋体" w:hAnsi="宋体"/>
          <w:color w:val="000000" w:themeColor="text1"/>
          <w:sz w:val="28"/>
          <w:szCs w:val="28"/>
          <w:u w:val="single"/>
          <w14:textFill>
            <w14:solidFill>
              <w14:schemeClr w14:val="tx1"/>
            </w14:solidFill>
          </w14:textFill>
        </w:rPr>
        <w:t xml:space="preserve">                                     </w:t>
      </w:r>
    </w:p>
    <w:p>
      <w:pPr>
        <w:spacing w:line="480" w:lineRule="exact"/>
        <w:ind w:firstLine="560"/>
        <w:rPr>
          <w:rFonts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银行账号：</w:t>
      </w:r>
      <w:r>
        <w:rPr>
          <w:rFonts w:hint="eastAsia" w:ascii="宋体" w:hAnsi="宋体"/>
          <w:color w:val="000000" w:themeColor="text1"/>
          <w:sz w:val="28"/>
          <w:szCs w:val="28"/>
          <w:u w:val="single"/>
          <w14:textFill>
            <w14:solidFill>
              <w14:schemeClr w14:val="tx1"/>
            </w14:solidFill>
          </w14:textFill>
        </w:rPr>
        <w:t xml:space="preserve">                                                </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乙方银行账户及发票开票信息如下：</w:t>
      </w:r>
    </w:p>
    <w:p>
      <w:pPr>
        <w:spacing w:line="480" w:lineRule="exact"/>
        <w:ind w:firstLine="560"/>
        <w:jc w:val="both"/>
        <w:rPr>
          <w:rFonts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单位名称：</w:t>
      </w:r>
      <w:r>
        <w:rPr>
          <w:rFonts w:hint="eastAsia" w:ascii="宋体" w:hAnsi="宋体"/>
          <w:color w:val="000000" w:themeColor="text1"/>
          <w:sz w:val="28"/>
          <w:szCs w:val="28"/>
          <w:u w:val="single"/>
          <w14:textFill>
            <w14:solidFill>
              <w14:schemeClr w14:val="tx1"/>
            </w14:solidFill>
          </w14:textFill>
        </w:rPr>
        <w:t xml:space="preserve">                                                 </w:t>
      </w:r>
    </w:p>
    <w:p>
      <w:pPr>
        <w:spacing w:line="480" w:lineRule="exact"/>
        <w:ind w:firstLine="560"/>
        <w:jc w:val="both"/>
        <w:rPr>
          <w:rFonts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统一社会信用代码：</w:t>
      </w:r>
      <w:r>
        <w:rPr>
          <w:rFonts w:hint="eastAsia" w:ascii="宋体" w:hAnsi="宋体"/>
          <w:color w:val="000000" w:themeColor="text1"/>
          <w:sz w:val="28"/>
          <w:szCs w:val="28"/>
          <w:u w:val="single"/>
          <w14:textFill>
            <w14:solidFill>
              <w14:schemeClr w14:val="tx1"/>
            </w14:solidFill>
          </w14:textFill>
        </w:rPr>
        <w:tab/>
      </w:r>
      <w:r>
        <w:rPr>
          <w:rFonts w:hint="eastAsia" w:ascii="宋体" w:hAnsi="宋体"/>
          <w:color w:val="000000" w:themeColor="text1"/>
          <w:sz w:val="28"/>
          <w:szCs w:val="28"/>
          <w:u w:val="single"/>
          <w14:textFill>
            <w14:solidFill>
              <w14:schemeClr w14:val="tx1"/>
            </w14:solidFill>
          </w14:textFill>
        </w:rPr>
        <w:t xml:space="preserve">                                       </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开户银行：</w:t>
      </w:r>
      <w:r>
        <w:rPr>
          <w:rFonts w:hint="eastAsia" w:ascii="宋体" w:hAnsi="宋体"/>
          <w:color w:val="000000" w:themeColor="text1"/>
          <w:sz w:val="28"/>
          <w:szCs w:val="28"/>
          <w:u w:val="single"/>
          <w14:textFill>
            <w14:solidFill>
              <w14:schemeClr w14:val="tx1"/>
            </w14:solidFill>
          </w14:textFill>
        </w:rPr>
        <w:t xml:space="preserve">                                                </w:t>
      </w:r>
    </w:p>
    <w:p>
      <w:pPr>
        <w:spacing w:line="480" w:lineRule="exact"/>
        <w:ind w:firstLine="560"/>
        <w:jc w:val="both"/>
        <w:rPr>
          <w:rFonts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银行账号：</w:t>
      </w:r>
      <w:r>
        <w:rPr>
          <w:rFonts w:hint="eastAsia" w:ascii="宋体" w:hAnsi="宋体"/>
          <w:color w:val="000000" w:themeColor="text1"/>
          <w:sz w:val="28"/>
          <w:szCs w:val="28"/>
          <w:u w:val="single"/>
          <w14:textFill>
            <w14:solidFill>
              <w14:schemeClr w14:val="tx1"/>
            </w14:solidFill>
          </w14:textFill>
        </w:rPr>
        <w:tab/>
      </w:r>
      <w:r>
        <w:rPr>
          <w:rFonts w:hint="eastAsia" w:ascii="宋体" w:hAnsi="宋体"/>
          <w:color w:val="000000" w:themeColor="text1"/>
          <w:sz w:val="28"/>
          <w:szCs w:val="28"/>
          <w:u w:val="single"/>
          <w14:textFill>
            <w14:solidFill>
              <w14:schemeClr w14:val="tx1"/>
            </w14:solidFill>
          </w14:textFill>
        </w:rPr>
        <w:t xml:space="preserve">                                                </w:t>
      </w:r>
    </w:p>
    <w:p>
      <w:pPr>
        <w:spacing w:line="480" w:lineRule="exact"/>
        <w:ind w:firstLine="560"/>
        <w:jc w:val="both"/>
        <w:rPr>
          <w:rFonts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单位地址：</w:t>
      </w:r>
      <w:r>
        <w:rPr>
          <w:rFonts w:hint="eastAsia" w:ascii="宋体" w:hAnsi="宋体"/>
          <w:color w:val="000000" w:themeColor="text1"/>
          <w:sz w:val="28"/>
          <w:szCs w:val="28"/>
          <w:u w:val="single"/>
          <w14:textFill>
            <w14:solidFill>
              <w14:schemeClr w14:val="tx1"/>
            </w14:solidFill>
          </w14:textFill>
        </w:rPr>
        <w:tab/>
      </w:r>
      <w:r>
        <w:rPr>
          <w:rFonts w:ascii="宋体" w:hAnsi="宋体"/>
          <w:color w:val="000000" w:themeColor="text1"/>
          <w:sz w:val="28"/>
          <w:szCs w:val="28"/>
          <w:u w:val="single"/>
          <w14:textFill>
            <w14:solidFill>
              <w14:schemeClr w14:val="tx1"/>
            </w14:solidFill>
          </w14:textFill>
        </w:rPr>
        <w:tab/>
      </w:r>
      <w:r>
        <w:rPr>
          <w:rFonts w:hint="eastAsia" w:ascii="宋体" w:hAnsi="宋体"/>
          <w:color w:val="000000" w:themeColor="text1"/>
          <w:sz w:val="28"/>
          <w:szCs w:val="28"/>
          <w:u w:val="single"/>
          <w14:textFill>
            <w14:solidFill>
              <w14:schemeClr w14:val="tx1"/>
            </w14:solidFill>
          </w14:textFill>
        </w:rPr>
        <w:t xml:space="preserve">                                              </w:t>
      </w:r>
    </w:p>
    <w:p>
      <w:pPr>
        <w:spacing w:line="480" w:lineRule="exact"/>
        <w:ind w:firstLine="560"/>
        <w:jc w:val="both"/>
        <w:rPr>
          <w:rFonts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电    话：</w:t>
      </w:r>
      <w:r>
        <w:rPr>
          <w:rFonts w:hint="eastAsia" w:ascii="宋体" w:hAnsi="宋体"/>
          <w:color w:val="000000" w:themeColor="text1"/>
          <w:sz w:val="28"/>
          <w:szCs w:val="28"/>
          <w:u w:val="single"/>
          <w14:textFill>
            <w14:solidFill>
              <w14:schemeClr w14:val="tx1"/>
            </w14:solidFill>
          </w14:textFill>
        </w:rPr>
        <w:t xml:space="preserve">                                                 </w:t>
      </w:r>
    </w:p>
    <w:p>
      <w:pPr>
        <w:spacing w:line="480" w:lineRule="exact"/>
        <w:ind w:firstLine="420" w:firstLineChars="15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（4）任何一方如需改变上述账户信息，应提前</w:t>
      </w:r>
      <w:r>
        <w:rPr>
          <w:rFonts w:hint="eastAsia" w:ascii="宋体" w:hAnsi="宋体"/>
          <w:color w:val="000000" w:themeColor="text1"/>
          <w:sz w:val="28"/>
          <w:szCs w:val="28"/>
          <w:u w:val="single"/>
          <w14:textFill>
            <w14:solidFill>
              <w14:schemeClr w14:val="tx1"/>
            </w14:solidFill>
          </w14:textFill>
        </w:rPr>
        <w:t xml:space="preserve"> 30 </w:t>
      </w:r>
      <w:r>
        <w:rPr>
          <w:rFonts w:hint="eastAsia" w:ascii="宋体" w:hAnsi="宋体"/>
          <w:color w:val="000000" w:themeColor="text1"/>
          <w:sz w:val="28"/>
          <w:szCs w:val="28"/>
          <w14:textFill>
            <w14:solidFill>
              <w14:schemeClr w14:val="tx1"/>
            </w14:solidFill>
          </w14:textFill>
        </w:rPr>
        <w:t>日以书面形式通知另一方。如一方未按本协议规定通知而遭受损失的自行承担，若使另外一方遭受损失的，应赔偿相应损失。</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第四条 甲方权利义务</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1．甲方应严格执行铁路行业及国铁集团的规章制度，对专用线安全作业与乙方共同承担相应责任，依法行使相应的权利和履行义务。</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2．甲方有权要求乙方在机车动力充足及专用铁路状况正常和安全的情况下，提供取送车作业服务。</w:t>
      </w:r>
    </w:p>
    <w:p>
      <w:pPr>
        <w:spacing w:line="480" w:lineRule="exact"/>
        <w:ind w:firstLine="560"/>
        <w:jc w:val="both"/>
        <w:rPr>
          <w:rFonts w:ascii="宋体" w:hAnsi="宋体" w:cs="华文仿宋"/>
          <w:bCs/>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3．甲方应为乙方办理并取得集装箱运输业务资质提供协助义务。若乙方专用线（专用铁路）未取得集装箱运输业务资质，</w:t>
      </w:r>
      <w:r>
        <w:rPr>
          <w:rFonts w:hint="eastAsia" w:ascii="宋体" w:hAnsi="宋体" w:cs="华文仿宋"/>
          <w:bCs/>
          <w:color w:val="000000" w:themeColor="text1"/>
          <w:sz w:val="28"/>
          <w:szCs w:val="28"/>
          <w14:textFill>
            <w14:solidFill>
              <w14:schemeClr w14:val="tx1"/>
            </w14:solidFill>
          </w14:textFill>
        </w:rPr>
        <w:t>本协议签订后60天内，甲方有义务协助乙方办理并取得。</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4．本协议签订后90天内，甲方负责向铁路相关部门申报，将相关铁路运费下浮优惠政策，平移或扩展到乙方接轨车站。</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5．甲方所到发物资品名必须符合铁路相关规定，不得瞒报、匿报。若造成后果，概由甲方承担全部责任。</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6．甲方应按照铁路行业及国铁集团管理要求，确保安全生产必需的投入，建立健全专用线安全生产制度，明确内部管理责任，严格执行操作规程。</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甲方负责在乙方提供的指定场地完成集装箱到、发业务的全部装卸作业，包括铁路车列集装箱的装卸、场内外堆放倒转及车辆捆绑加固、装箱方案的制定等。未经乙方许可，严禁在乙方提供的指定场地开展掏装箱作业。</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8．甲方自行配备满足业务需要的各种特种作业设备（包括吊车、集装箱卡车、叉车等）及技术人员、管理人员等，且特种作业设备必须按照国家相关要求进行定期检验，操作人员每年必须进行安全教育培训并按照相关要求进行操作证复审。</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9．按照协议约定，及时向乙方支付集装箱运输发运业务费用及服务费用。</w:t>
      </w:r>
    </w:p>
    <w:p>
      <w:pPr>
        <w:numPr>
          <w:ilvl w:val="0"/>
          <w:numId w:val="3"/>
        </w:numPr>
        <w:autoSpaceDE w:val="0"/>
        <w:autoSpaceDN w:val="0"/>
        <w:spacing w:line="480" w:lineRule="exact"/>
        <w:ind w:firstLine="56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乙方权利义务</w:t>
      </w:r>
    </w:p>
    <w:p>
      <w:pPr>
        <w:tabs>
          <w:tab w:val="left" w:pos="312"/>
        </w:tabs>
        <w:autoSpaceDE w:val="0"/>
        <w:autoSpaceDN w:val="0"/>
        <w:spacing w:before="1" w:line="480" w:lineRule="exact"/>
        <w:ind w:firstLine="56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1．若乙方无铁路集装箱运输业务资质，乙方有权利要求甲方协助办理并取得。</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．在确保安全运行的情况下，乙方应及时为甲方完成取送车等作业，确保甲方生产经营活动的顺利开展。</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．乙方为甲方免费提供办公和居住场所。</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 乙方为甲方免费提供集装箱卡车停放场地。</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．如发生以下情况，乙方有权中止提供取送车作业服务：</w:t>
      </w:r>
    </w:p>
    <w:p>
      <w:pPr>
        <w:spacing w:line="480" w:lineRule="exact"/>
        <w:ind w:firstLine="338" w:firstLineChars="121"/>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（1）甲方人员不遵守乙方相关制度及规定，不服从乙方的安排，作业方式及环境存在重大安全隐患，且由国家安全管理部门或铁路相关安全管理部门要求停止作业的；</w:t>
      </w:r>
    </w:p>
    <w:p>
      <w:pPr>
        <w:spacing w:line="480" w:lineRule="exact"/>
        <w:ind w:firstLine="338" w:firstLineChars="121"/>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）不可抗力（不可抗力是指不能预见、不能避免并不能克服的客观情况。如地震、疫情、征收、征用等。）；</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6.</w:t>
      </w:r>
      <w:r>
        <w:rPr>
          <w:rFonts w:hint="eastAsia" w:ascii="宋体" w:hAnsi="宋体"/>
          <w:color w:val="000000" w:themeColor="text1"/>
          <w:sz w:val="28"/>
          <w:szCs w:val="28"/>
          <w14:textFill>
            <w14:solidFill>
              <w14:schemeClr w14:val="tx1"/>
            </w14:solidFill>
          </w14:textFill>
        </w:rPr>
        <w:t>协议期内，非本条第</w:t>
      </w:r>
      <w:r>
        <w:rPr>
          <w:rFonts w:ascii="宋体" w:hAnsi="宋体"/>
          <w:color w:val="000000" w:themeColor="text1"/>
          <w:sz w:val="28"/>
          <w:szCs w:val="28"/>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款描述的原因，乙方中止取送车作业，或导致本协议无法履行，给甲方造成的经济损失，乙方应和甲方协商解决。</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7</w:t>
      </w:r>
      <w:r>
        <w:rPr>
          <w:rFonts w:hint="eastAsia" w:ascii="宋体" w:hAnsi="宋体"/>
          <w:color w:val="000000" w:themeColor="text1"/>
          <w:sz w:val="28"/>
          <w:szCs w:val="28"/>
          <w14:textFill>
            <w14:solidFill>
              <w14:schemeClr w14:val="tx1"/>
            </w14:solidFill>
          </w14:textFill>
        </w:rPr>
        <w:t>．乙方有权对甲方的业务开展实施监督检查，并可就监督检查过程中发现的问题向甲方提出建议或意见；如甲方工作人员违反法律法规或甲方未按本协议的约定制定规章制度的，乙方有权向甲方提出处理意见。</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8</w:t>
      </w:r>
      <w:r>
        <w:rPr>
          <w:rFonts w:hint="eastAsia" w:ascii="宋体" w:hAnsi="宋体"/>
          <w:color w:val="000000" w:themeColor="text1"/>
          <w:sz w:val="28"/>
          <w:szCs w:val="28"/>
          <w14:textFill>
            <w14:solidFill>
              <w14:schemeClr w14:val="tx1"/>
            </w14:solidFill>
          </w14:textFill>
        </w:rPr>
        <w:t>．如因甲方管理不善，在乙方厂区内发生重大安全事故，给乙方造成重大经济损失，甲方应承担全部责任，并按照铁路及国家相关部门的要求进行整改。</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9</w:t>
      </w:r>
      <w:r>
        <w:rPr>
          <w:rFonts w:hint="eastAsia" w:ascii="宋体" w:hAnsi="宋体"/>
          <w:color w:val="000000" w:themeColor="text1"/>
          <w:sz w:val="28"/>
          <w:szCs w:val="28"/>
          <w14:textFill>
            <w14:solidFill>
              <w14:schemeClr w14:val="tx1"/>
            </w14:solidFill>
          </w14:textFill>
        </w:rPr>
        <w:t>. 承担机车在本方专用线上运行时的动力燃油、机车所有调车作业所需的油脂、闸瓦润滑等补偿消耗。</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10</w:t>
      </w:r>
      <w:r>
        <w:rPr>
          <w:rFonts w:hint="eastAsia" w:ascii="宋体" w:hAnsi="宋体"/>
          <w:color w:val="000000" w:themeColor="text1"/>
          <w:sz w:val="28"/>
          <w:szCs w:val="28"/>
          <w14:textFill>
            <w14:solidFill>
              <w14:schemeClr w14:val="tx1"/>
            </w14:solidFill>
          </w14:textFill>
        </w:rPr>
        <w:t>．如甲方有货损等事故发生，乙方有义务配合甲方调查取证，并提供帮助。</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．乙方可以派出员工参与甲方集装箱铁路运输相关业务的运营管理。乙方派出人员的薪酬由乙方承担。</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12.</w:t>
      </w:r>
      <w:r>
        <w:rPr>
          <w:rFonts w:hint="eastAsia" w:ascii="宋体" w:hAnsi="宋体"/>
          <w:color w:val="000000" w:themeColor="text1"/>
          <w:sz w:val="28"/>
          <w:szCs w:val="28"/>
          <w14:textFill>
            <w14:solidFill>
              <w14:schemeClr w14:val="tx1"/>
            </w14:solidFill>
          </w14:textFill>
        </w:rPr>
        <w:t>协议期内，乙方不得独立与其他货运代理公司签订专用铁路委托运输协议。如乙方有货源引入，须与甲方、运输委托方共同签订三方运输协议，另行约定。</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.协议期内，甲方引入货源如需要乙方增加提供除机车取送服务以外的外延服务，如集装箱货物掏装箱作业、货物短倒及仓储、集装箱堆存或修理等，相关业务收费标准双方友好协商，另行签订补充协议。</w:t>
      </w:r>
    </w:p>
    <w:p>
      <w:pPr>
        <w:widowControl/>
        <w:spacing w:after="120" w:line="520" w:lineRule="exact"/>
        <w:ind w:firstLine="56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第六条 违约责任</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 因一方当事人原因无法继续履行或迟延履行协议的，应当及时书面通知另一方，并承担因协议提前终止或迟延履行而给对方造成的损失。</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 除不可抗力或国家、国铁集团规定外，任何一方单方面解除协议，双方除按照实际工作量结算费用外，违约方还应向守约方支付违约金100万元。</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3.因甲方原因未能在约定时日内协助乙方取得集装箱运输业务资质，乙方除有权解除协议外，甲方还应向乙方支付违约金50万元。</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4</w:t>
      </w:r>
      <w:r>
        <w:rPr>
          <w:rFonts w:hint="eastAsia" w:ascii="宋体" w:hAnsi="宋体"/>
          <w:color w:val="000000" w:themeColor="text1"/>
          <w:sz w:val="28"/>
          <w:szCs w:val="28"/>
          <w14:textFill>
            <w14:solidFill>
              <w14:schemeClr w14:val="tx1"/>
            </w14:solidFill>
          </w14:textFill>
        </w:rPr>
        <w:t>.甲方未按约定期限支付费用的，每逾期一日，按未付价款部分的</w:t>
      </w:r>
      <w:r>
        <w:rPr>
          <w:rFonts w:hint="eastAsia" w:ascii="宋体" w:hAnsi="宋体"/>
          <w:color w:val="000000" w:themeColor="text1"/>
          <w:sz w:val="28"/>
          <w:szCs w:val="28"/>
          <w:u w:val="single"/>
          <w14:textFill>
            <w14:solidFill>
              <w14:schemeClr w14:val="tx1"/>
            </w14:solidFill>
          </w14:textFill>
        </w:rPr>
        <w:t xml:space="preserve"> 0.3</w:t>
      </w:r>
      <w:r>
        <w:rPr>
          <w:rFonts w:hint="eastAsia" w:ascii="宋体" w:hAnsi="宋体"/>
          <w:color w:val="000000" w:themeColor="text1"/>
          <w:sz w:val="28"/>
          <w:szCs w:val="28"/>
          <w14:textFill>
            <w14:solidFill>
              <w14:schemeClr w14:val="tx1"/>
            </w14:solidFill>
          </w14:textFill>
        </w:rPr>
        <w:t>%向乙方支付违约金。甲方未按约定期限支付费用逾期</w:t>
      </w:r>
      <w:r>
        <w:rPr>
          <w:rFonts w:hint="eastAsia" w:ascii="宋体" w:hAnsi="宋体"/>
          <w:color w:val="000000" w:themeColor="text1"/>
          <w:sz w:val="28"/>
          <w:szCs w:val="28"/>
          <w:u w:val="single"/>
          <w14:textFill>
            <w14:solidFill>
              <w14:schemeClr w14:val="tx1"/>
            </w14:solidFill>
          </w14:textFill>
        </w:rPr>
        <w:t xml:space="preserve"> 15</w:t>
      </w:r>
      <w:r>
        <w:rPr>
          <w:rFonts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个工作日的，乙方有权停止提供服务义务，因乙方停止提供服务义务造成的任何后果，甲方承担责任。</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.因甲方原因导致乙方人身伤亡、财产损失或设备损坏的，甲方承担乙方直接损失的赔偿责任。甲方原因造成第三方人身伤亡或财产损失的，由甲方承担全部赔偿责任。</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6</w:t>
      </w:r>
      <w:r>
        <w:rPr>
          <w:rFonts w:hint="eastAsia" w:ascii="宋体" w:hAnsi="宋体"/>
          <w:color w:val="000000" w:themeColor="text1"/>
          <w:sz w:val="28"/>
          <w:szCs w:val="28"/>
          <w14:textFill>
            <w14:solidFill>
              <w14:schemeClr w14:val="tx1"/>
            </w14:solidFill>
          </w14:textFill>
        </w:rPr>
        <w:t>.因乙方原因导致甲方人身伤亡、财产损失或设备损坏的，乙方承担甲方直接损失的赔偿责任。乙方原因造成第三方人身伤亡或财产损失的，由乙方承担全部赔偿责任。</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第七条 保密义务</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 无论本协议是否实际生效并履行，双方对在订立、履行本协议过程中知悉的对方尚未向公众公开的技术、商业情报和资料均负有保密的义务，不得泄露或者不正当地使用。乙方应教育、督促外包从业人员不得以任何形式向他人提供和泄露甲方的商业秘密，保证乙方业务利益不受损失，如因甲方从业人员泄露乙方商业秘密造成乙方或任何第三方经济损失的，甲方应承担赔偿责任。</w:t>
      </w:r>
    </w:p>
    <w:p>
      <w:pPr>
        <w:adjustRightInd w:val="0"/>
        <w:snapToGrid w:val="0"/>
        <w:spacing w:line="520" w:lineRule="exact"/>
        <w:ind w:firstLine="560"/>
        <w:textAlignment w:val="baseline"/>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2.本协议终止或解除之后，双方仍需履行本协议项下的保密义务，直至对方同意解除此项义务，或事实上不会因违反本协议的保密条款而给对方造成任何形式的损害时为止。</w:t>
      </w:r>
    </w:p>
    <w:p>
      <w:pPr>
        <w:adjustRightInd w:val="0"/>
        <w:snapToGrid w:val="0"/>
        <w:spacing w:line="520" w:lineRule="exact"/>
        <w:ind w:firstLine="560"/>
        <w:textAlignment w:val="baseline"/>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3.任何一方违反本协议的保密条款给对方造成损失的，应当承担损害赔偿责任。</w:t>
      </w:r>
    </w:p>
    <w:p>
      <w:pPr>
        <w:widowControl/>
        <w:spacing w:after="120" w:line="520" w:lineRule="exact"/>
        <w:ind w:firstLine="618" w:firstLineChars="221"/>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第八条 附则</w:t>
      </w:r>
    </w:p>
    <w:p>
      <w:pPr>
        <w:spacing w:line="480" w:lineRule="exact"/>
        <w:ind w:firstLine="618" w:firstLineChars="221"/>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1.根据成都铁路局相关规定，专用铁路集装箱作业资质办理后，</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须签订《铁路专用线共用协议》。格式协议见附件一。</w:t>
      </w:r>
    </w:p>
    <w:p>
      <w:pPr>
        <w:adjustRightInd w:val="0"/>
        <w:snapToGrid w:val="0"/>
        <w:spacing w:line="520" w:lineRule="exact"/>
        <w:ind w:firstLine="560"/>
        <w:textAlignment w:val="baseline"/>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．经甲乙双方约定，若出现以下情况之一，双方可以终止协议执行，并不承担违约责任：</w:t>
      </w:r>
    </w:p>
    <w:p>
      <w:pPr>
        <w:snapToGrid w:val="0"/>
        <w:spacing w:line="520" w:lineRule="exact"/>
        <w:ind w:firstLine="420" w:firstLineChars="15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）不可抗拒的自然灾害、战争、疫情等；</w:t>
      </w:r>
    </w:p>
    <w:p>
      <w:pPr>
        <w:snapToGrid w:val="0"/>
        <w:spacing w:line="520" w:lineRule="exact"/>
        <w:ind w:firstLine="420" w:firstLineChars="15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）国铁就专用铁路管理政策发生变化的。</w:t>
      </w:r>
    </w:p>
    <w:p>
      <w:pPr>
        <w:snapToGrid w:val="0"/>
        <w:spacing w:line="520" w:lineRule="exact"/>
        <w:ind w:firstLine="56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.若因国家及地方政府对企业专用铁路做出重大政策调整导致双方无法继续履行协议，双方协商解决。</w:t>
      </w:r>
    </w:p>
    <w:p>
      <w:pPr>
        <w:widowControl/>
        <w:spacing w:line="520" w:lineRule="exact"/>
        <w:ind w:firstLine="560"/>
        <w:jc w:val="both"/>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4</w:t>
      </w:r>
      <w:r>
        <w:rPr>
          <w:rFonts w:hint="eastAsia" w:ascii="宋体" w:hAnsi="宋体"/>
          <w:color w:val="000000" w:themeColor="text1"/>
          <w:sz w:val="28"/>
          <w:szCs w:val="28"/>
          <w14:textFill>
            <w14:solidFill>
              <w14:schemeClr w14:val="tx1"/>
            </w14:solidFill>
          </w14:textFill>
        </w:rPr>
        <w:t>.经双方协商一致，可对本协议条款进行修订，更改和补充，并以书面形式签订补充协议。</w:t>
      </w:r>
    </w:p>
    <w:p>
      <w:pPr>
        <w:widowControl/>
        <w:spacing w:line="520" w:lineRule="exact"/>
        <w:ind w:left="420" w:firstLine="140" w:firstLineChars="50"/>
        <w:jc w:val="both"/>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.本协议期满后经双方协商同意可以续签协议。</w:t>
      </w:r>
    </w:p>
    <w:p>
      <w:pPr>
        <w:widowControl/>
        <w:spacing w:line="520" w:lineRule="exact"/>
        <w:ind w:firstLine="560"/>
        <w:jc w:val="both"/>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6</w:t>
      </w:r>
      <w:r>
        <w:rPr>
          <w:rFonts w:hint="eastAsia" w:ascii="宋体" w:hAnsi="宋体"/>
          <w:color w:val="000000" w:themeColor="text1"/>
          <w:sz w:val="28"/>
          <w:szCs w:val="28"/>
          <w14:textFill>
            <w14:solidFill>
              <w14:schemeClr w14:val="tx1"/>
            </w14:solidFill>
          </w14:textFill>
        </w:rPr>
        <w:t>.双方如对协议发生争议，双方应协商解决，协商不成的，任何一方可向原告方所在地的人民法院提起诉讼。</w:t>
      </w:r>
    </w:p>
    <w:p>
      <w:pPr>
        <w:widowControl/>
        <w:spacing w:line="520" w:lineRule="exact"/>
        <w:ind w:firstLine="560"/>
        <w:jc w:val="both"/>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7</w:t>
      </w:r>
      <w:r>
        <w:rPr>
          <w:rFonts w:hint="eastAsia" w:ascii="宋体" w:hAnsi="宋体"/>
          <w:color w:val="000000" w:themeColor="text1"/>
          <w:sz w:val="28"/>
          <w:szCs w:val="28"/>
          <w14:textFill>
            <w14:solidFill>
              <w14:schemeClr w14:val="tx1"/>
            </w14:solidFill>
          </w14:textFill>
        </w:rPr>
        <w:t>.本协议一式六份，甲乙双方各三份，均具同等法律效力，自双方签字盖章之日生效。</w:t>
      </w:r>
    </w:p>
    <w:p>
      <w:pPr>
        <w:spacing w:line="480" w:lineRule="exact"/>
        <w:ind w:firstLine="560"/>
        <w:jc w:val="both"/>
        <w:rPr>
          <w:rFonts w:ascii="宋体" w:hAnsi="宋体"/>
          <w:color w:val="000000" w:themeColor="text1"/>
          <w:sz w:val="28"/>
          <w:szCs w:val="28"/>
          <w14:textFill>
            <w14:solidFill>
              <w14:schemeClr w14:val="tx1"/>
            </w14:solidFill>
          </w14:textFill>
        </w:rPr>
      </w:pPr>
    </w:p>
    <w:p>
      <w:pPr>
        <w:spacing w:line="480" w:lineRule="exact"/>
        <w:ind w:firstLine="562"/>
        <w:jc w:val="both"/>
        <w:rPr>
          <w:rFonts w:ascii="宋体" w:hAnsi="宋体"/>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甲方</w:t>
      </w:r>
      <w:r>
        <w:rPr>
          <w:rFonts w:hint="eastAsia" w:ascii="宋体" w:hAnsi="宋体"/>
          <w:color w:val="000000" w:themeColor="text1"/>
          <w:sz w:val="28"/>
          <w:szCs w:val="28"/>
          <w14:textFill>
            <w14:solidFill>
              <w14:schemeClr w14:val="tx1"/>
            </w14:solidFill>
          </w14:textFill>
        </w:rPr>
        <w:t>（盖章）：</w:t>
      </w:r>
      <w:r>
        <w:rPr>
          <w:rFonts w:ascii="宋体" w:hAnsi="宋体"/>
          <w:color w:val="000000" w:themeColor="text1"/>
          <w:sz w:val="28"/>
          <w:szCs w:val="28"/>
          <w14:textFill>
            <w14:solidFill>
              <w14:schemeClr w14:val="tx1"/>
            </w14:solidFill>
          </w14:textFill>
        </w:rPr>
        <w:tab/>
      </w:r>
      <w:r>
        <w:rPr>
          <w:rFonts w:hint="eastAsia" w:ascii="宋体" w:hAnsi="宋体"/>
          <w:color w:val="000000" w:themeColor="text1"/>
          <w:sz w:val="28"/>
          <w:szCs w:val="28"/>
          <w14:textFill>
            <w14:solidFill>
              <w14:schemeClr w14:val="tx1"/>
            </w14:solidFill>
          </w14:textFill>
        </w:rPr>
        <w:t xml:space="preserve">           </w:t>
      </w:r>
      <w:r>
        <w:rPr>
          <w:rFonts w:ascii="宋体" w:hAnsi="宋体"/>
          <w:b/>
          <w:color w:val="000000" w:themeColor="text1"/>
          <w:sz w:val="28"/>
          <w:szCs w:val="28"/>
          <w14:textFill>
            <w14:solidFill>
              <w14:schemeClr w14:val="tx1"/>
            </w14:solidFill>
          </w14:textFill>
        </w:rPr>
        <w:t>乙方</w:t>
      </w:r>
      <w:r>
        <w:rPr>
          <w:rFonts w:ascii="宋体" w:hAnsi="宋体"/>
          <w:color w:val="000000" w:themeColor="text1"/>
          <w:sz w:val="28"/>
          <w:szCs w:val="28"/>
          <w14:textFill>
            <w14:solidFill>
              <w14:schemeClr w14:val="tx1"/>
            </w14:solidFill>
          </w14:textFill>
        </w:rPr>
        <w:t>（盖章）：</w:t>
      </w:r>
    </w:p>
    <w:p>
      <w:pPr>
        <w:spacing w:line="480" w:lineRule="exact"/>
        <w:ind w:firstLine="560"/>
        <w:jc w:val="both"/>
        <w:rPr>
          <w:rFonts w:ascii="宋体" w:hAnsi="宋体"/>
          <w:color w:val="000000" w:themeColor="text1"/>
          <w:sz w:val="28"/>
          <w:szCs w:val="28"/>
          <w14:textFill>
            <w14:solidFill>
              <w14:schemeClr w14:val="tx1"/>
            </w14:solidFill>
          </w14:textFill>
        </w:rPr>
      </w:pPr>
    </w:p>
    <w:p>
      <w:pPr>
        <w:spacing w:line="480" w:lineRule="exact"/>
        <w:ind w:firstLine="560"/>
        <w:jc w:val="both"/>
        <w:rPr>
          <w:rFonts w:ascii="宋体" w:hAnsi="宋体"/>
          <w:color w:val="000000" w:themeColor="text1"/>
          <w:sz w:val="28"/>
          <w:szCs w:val="28"/>
          <w14:textFill>
            <w14:solidFill>
              <w14:schemeClr w14:val="tx1"/>
            </w14:solidFill>
          </w14:textFill>
        </w:rPr>
      </w:pPr>
    </w:p>
    <w:p>
      <w:pPr>
        <w:spacing w:line="480" w:lineRule="exact"/>
        <w:ind w:firstLine="56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法定代表人（负责人）</w:t>
      </w:r>
      <w:r>
        <w:rPr>
          <w:rFonts w:ascii="宋体" w:hAnsi="宋体"/>
          <w:color w:val="000000" w:themeColor="text1"/>
          <w:sz w:val="28"/>
          <w:szCs w:val="28"/>
          <w14:textFill>
            <w14:solidFill>
              <w14:schemeClr w14:val="tx1"/>
            </w14:solidFill>
          </w14:textFill>
        </w:rPr>
        <w:tab/>
      </w:r>
      <w:r>
        <w:rPr>
          <w:rFonts w:hint="eastAsia" w:ascii="宋体" w:hAnsi="宋体"/>
          <w:color w:val="000000" w:themeColor="text1"/>
          <w:sz w:val="28"/>
          <w:szCs w:val="28"/>
          <w14:textFill>
            <w14:solidFill>
              <w14:schemeClr w14:val="tx1"/>
            </w14:solidFill>
          </w14:textFill>
        </w:rPr>
        <w:t xml:space="preserve">     </w:t>
      </w:r>
      <w:r>
        <w:rPr>
          <w:rFonts w:ascii="宋体" w:hAnsi="宋体"/>
          <w:color w:val="000000" w:themeColor="text1"/>
          <w:sz w:val="28"/>
          <w:szCs w:val="28"/>
          <w14:textFill>
            <w14:solidFill>
              <w14:schemeClr w14:val="tx1"/>
            </w14:solidFill>
          </w14:textFill>
        </w:rPr>
        <w:t>法定代表人（负责人）</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或委托代理人：</w:t>
      </w:r>
      <w:r>
        <w:rPr>
          <w:rFonts w:ascii="宋体" w:hAnsi="宋体"/>
          <w:color w:val="000000" w:themeColor="text1"/>
          <w:sz w:val="28"/>
          <w:szCs w:val="28"/>
          <w14:textFill>
            <w14:solidFill>
              <w14:schemeClr w14:val="tx1"/>
            </w14:solidFill>
          </w14:textFill>
        </w:rPr>
        <w:tab/>
      </w:r>
      <w:r>
        <w:rPr>
          <w:rFonts w:hint="eastAsia" w:ascii="宋体" w:hAnsi="宋体"/>
          <w:color w:val="000000" w:themeColor="text1"/>
          <w:sz w:val="28"/>
          <w:szCs w:val="28"/>
          <w14:textFill>
            <w14:solidFill>
              <w14:schemeClr w14:val="tx1"/>
            </w14:solidFill>
          </w14:textFill>
        </w:rPr>
        <w:t xml:space="preserve">           </w:t>
      </w:r>
      <w:r>
        <w:rPr>
          <w:rFonts w:ascii="宋体" w:hAnsi="宋体"/>
          <w:color w:val="000000" w:themeColor="text1"/>
          <w:sz w:val="28"/>
          <w:szCs w:val="28"/>
          <w14:textFill>
            <w14:solidFill>
              <w14:schemeClr w14:val="tx1"/>
            </w14:solidFill>
          </w14:textFill>
        </w:rPr>
        <w:t>或委托代理人：</w:t>
      </w:r>
    </w:p>
    <w:p>
      <w:pPr>
        <w:spacing w:line="480" w:lineRule="exact"/>
        <w:ind w:firstLine="560"/>
        <w:jc w:val="both"/>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(签字)</w:t>
      </w:r>
      <w:r>
        <w:rPr>
          <w:rFonts w:ascii="宋体" w:hAnsi="宋体"/>
          <w:color w:val="000000" w:themeColor="text1"/>
          <w:sz w:val="28"/>
          <w:szCs w:val="28"/>
          <w14:textFill>
            <w14:solidFill>
              <w14:schemeClr w14:val="tx1"/>
            </w14:solidFill>
          </w14:textFill>
        </w:rPr>
        <w:tab/>
      </w:r>
      <w:r>
        <w:rPr>
          <w:rFonts w:hint="eastAsia" w:ascii="宋体" w:hAnsi="宋体"/>
          <w:color w:val="000000" w:themeColor="text1"/>
          <w:sz w:val="28"/>
          <w:szCs w:val="28"/>
          <w14:textFill>
            <w14:solidFill>
              <w14:schemeClr w14:val="tx1"/>
            </w14:solidFill>
          </w14:textFill>
        </w:rPr>
        <w:t xml:space="preserve">                    </w:t>
      </w:r>
      <w:r>
        <w:rPr>
          <w:rFonts w:ascii="宋体" w:hAnsi="宋体"/>
          <w:color w:val="000000" w:themeColor="text1"/>
          <w:sz w:val="28"/>
          <w:szCs w:val="28"/>
          <w14:textFill>
            <w14:solidFill>
              <w14:schemeClr w14:val="tx1"/>
            </w14:solidFill>
          </w14:textFill>
        </w:rPr>
        <w:t>(签字)</w:t>
      </w:r>
    </w:p>
    <w:p>
      <w:pPr>
        <w:spacing w:line="480" w:lineRule="exact"/>
        <w:ind w:firstLine="560"/>
        <w:jc w:val="both"/>
        <w:rPr>
          <w:rFonts w:ascii="宋体" w:hAnsi="宋体"/>
          <w:color w:val="000000" w:themeColor="text1"/>
          <w:sz w:val="28"/>
          <w:szCs w:val="28"/>
          <w14:textFill>
            <w14:solidFill>
              <w14:schemeClr w14:val="tx1"/>
            </w14:solidFill>
          </w14:textFill>
        </w:rPr>
      </w:pPr>
    </w:p>
    <w:p>
      <w:pPr>
        <w:spacing w:line="480" w:lineRule="exact"/>
        <w:ind w:firstLine="560"/>
        <w:jc w:val="both"/>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年</w:t>
      </w:r>
      <w:r>
        <w:rPr>
          <w:rFonts w:ascii="宋体" w:hAnsi="宋体"/>
          <w:color w:val="000000" w:themeColor="text1"/>
          <w:sz w:val="28"/>
          <w:szCs w:val="28"/>
          <w14:textFill>
            <w14:solidFill>
              <w14:schemeClr w14:val="tx1"/>
            </w14:solidFill>
          </w14:textFill>
        </w:rPr>
        <w:tab/>
      </w:r>
      <w:r>
        <w:rPr>
          <w:rFonts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14:textFill>
            <w14:solidFill>
              <w14:schemeClr w14:val="tx1"/>
            </w14:solidFill>
          </w14:textFill>
        </w:rPr>
        <w:t xml:space="preserve">  </w:t>
      </w:r>
      <w:r>
        <w:rPr>
          <w:rFonts w:ascii="宋体" w:hAnsi="宋体"/>
          <w:color w:val="000000" w:themeColor="text1"/>
          <w:sz w:val="28"/>
          <w:szCs w:val="28"/>
          <w14:textFill>
            <w14:solidFill>
              <w14:schemeClr w14:val="tx1"/>
            </w14:solidFill>
          </w14:textFill>
        </w:rPr>
        <w:tab/>
      </w:r>
      <w:r>
        <w:rPr>
          <w:rFonts w:ascii="宋体" w:hAnsi="宋体"/>
          <w:color w:val="000000" w:themeColor="text1"/>
          <w:sz w:val="28"/>
          <w:szCs w:val="28"/>
          <w14:textFill>
            <w14:solidFill>
              <w14:schemeClr w14:val="tx1"/>
            </w14:solidFill>
          </w14:textFill>
        </w:rPr>
        <w:t>日</w:t>
      </w:r>
      <w:r>
        <w:rPr>
          <w:rFonts w:ascii="宋体" w:hAnsi="宋体"/>
          <w:color w:val="000000" w:themeColor="text1"/>
          <w:sz w:val="28"/>
          <w:szCs w:val="28"/>
          <w14:textFill>
            <w14:solidFill>
              <w14:schemeClr w14:val="tx1"/>
            </w14:solidFill>
          </w14:textFill>
        </w:rPr>
        <w:tab/>
      </w:r>
      <w:r>
        <w:rPr>
          <w:rFonts w:hint="eastAsia" w:ascii="宋体" w:hAnsi="宋体"/>
          <w:color w:val="000000" w:themeColor="text1"/>
          <w:sz w:val="28"/>
          <w:szCs w:val="28"/>
          <w14:textFill>
            <w14:solidFill>
              <w14:schemeClr w14:val="tx1"/>
            </w14:solidFill>
          </w14:textFill>
        </w:rPr>
        <w:t xml:space="preserve">               </w:t>
      </w:r>
      <w:r>
        <w:rPr>
          <w:rFonts w:ascii="宋体" w:hAnsi="宋体"/>
          <w:color w:val="000000" w:themeColor="text1"/>
          <w:sz w:val="28"/>
          <w:szCs w:val="28"/>
          <w14:textFill>
            <w14:solidFill>
              <w14:schemeClr w14:val="tx1"/>
            </w14:solidFill>
          </w14:textFill>
        </w:rPr>
        <w:t>年</w:t>
      </w:r>
      <w:r>
        <w:rPr>
          <w:rFonts w:ascii="宋体" w:hAnsi="宋体"/>
          <w:color w:val="000000" w:themeColor="text1"/>
          <w:sz w:val="28"/>
          <w:szCs w:val="28"/>
          <w14:textFill>
            <w14:solidFill>
              <w14:schemeClr w14:val="tx1"/>
            </w14:solidFill>
          </w14:textFill>
        </w:rPr>
        <w:tab/>
      </w:r>
      <w:r>
        <w:rPr>
          <w:rFonts w:hint="eastAsia" w:ascii="宋体" w:hAnsi="宋体"/>
          <w:color w:val="000000" w:themeColor="text1"/>
          <w:sz w:val="28"/>
          <w:szCs w:val="28"/>
          <w14:textFill>
            <w14:solidFill>
              <w14:schemeClr w14:val="tx1"/>
            </w14:solidFill>
          </w14:textFill>
        </w:rPr>
        <w:t xml:space="preserve">   </w:t>
      </w:r>
      <w:r>
        <w:rPr>
          <w:rFonts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14:textFill>
            <w14:solidFill>
              <w14:schemeClr w14:val="tx1"/>
            </w14:solidFill>
          </w14:textFill>
        </w:rPr>
        <w:t xml:space="preserve">  </w:t>
      </w:r>
      <w:r>
        <w:rPr>
          <w:rFonts w:ascii="宋体" w:hAnsi="宋体"/>
          <w:color w:val="000000" w:themeColor="text1"/>
          <w:sz w:val="28"/>
          <w:szCs w:val="28"/>
          <w14:textFill>
            <w14:solidFill>
              <w14:schemeClr w14:val="tx1"/>
            </w14:solidFill>
          </w14:textFill>
        </w:rPr>
        <w:tab/>
      </w:r>
      <w:r>
        <w:rPr>
          <w:rFonts w:ascii="宋体" w:hAnsi="宋体"/>
          <w:color w:val="000000" w:themeColor="text1"/>
          <w:sz w:val="28"/>
          <w:szCs w:val="28"/>
          <w14:textFill>
            <w14:solidFill>
              <w14:schemeClr w14:val="tx1"/>
            </w14:solidFill>
          </w14:textFill>
        </w:rPr>
        <w:t>日</w:t>
      </w:r>
    </w:p>
    <w:p>
      <w:pPr>
        <w:pStyle w:val="2"/>
        <w:jc w:val="left"/>
        <w:rPr>
          <w:rFonts w:ascii="宋体" w:hAnsi="宋体" w:cs="仿宋_GB2312"/>
          <w:b w:val="0"/>
          <w:bCs w:val="0"/>
          <w:color w:val="000000" w:themeColor="text1"/>
          <w:kern w:val="0"/>
          <w:sz w:val="28"/>
          <w14:textFill>
            <w14:solidFill>
              <w14:schemeClr w14:val="tx1"/>
            </w14:solidFill>
          </w14:textFill>
        </w:rPr>
      </w:pPr>
      <w:bookmarkStart w:id="171" w:name="_Toc533168370"/>
    </w:p>
    <w:p>
      <w:pPr>
        <w:ind w:firstLine="480"/>
        <w:rPr>
          <w:color w:val="000000" w:themeColor="text1"/>
          <w14:textFill>
            <w14:solidFill>
              <w14:schemeClr w14:val="tx1"/>
            </w14:solidFill>
          </w14:textFill>
        </w:rPr>
      </w:pPr>
    </w:p>
    <w:p>
      <w:pPr>
        <w:ind w:firstLine="480"/>
        <w:rPr>
          <w:color w:val="000000" w:themeColor="text1"/>
          <w14:textFill>
            <w14:solidFill>
              <w14:schemeClr w14:val="tx1"/>
            </w14:solidFill>
          </w14:textFill>
        </w:rPr>
      </w:pPr>
    </w:p>
    <w:p>
      <w:pPr>
        <w:ind w:firstLine="480"/>
        <w:rPr>
          <w:color w:val="000000" w:themeColor="text1"/>
          <w14:textFill>
            <w14:solidFill>
              <w14:schemeClr w14:val="tx1"/>
            </w14:solidFill>
          </w14:textFill>
        </w:rPr>
      </w:pPr>
    </w:p>
    <w:p>
      <w:pPr>
        <w:ind w:firstLine="480"/>
        <w:rPr>
          <w:color w:val="000000" w:themeColor="text1"/>
          <w14:textFill>
            <w14:solidFill>
              <w14:schemeClr w14:val="tx1"/>
            </w14:solidFill>
          </w14:textFill>
        </w:rPr>
      </w:pPr>
    </w:p>
    <w:p>
      <w:pPr>
        <w:ind w:firstLine="480"/>
        <w:rPr>
          <w:color w:val="000000" w:themeColor="text1"/>
          <w14:textFill>
            <w14:solidFill>
              <w14:schemeClr w14:val="tx1"/>
            </w14:solidFill>
          </w14:textFill>
        </w:rPr>
      </w:pPr>
    </w:p>
    <w:p>
      <w:pPr>
        <w:ind w:firstLine="480"/>
        <w:rPr>
          <w:color w:val="000000" w:themeColor="text1"/>
          <w14:textFill>
            <w14:solidFill>
              <w14:schemeClr w14:val="tx1"/>
            </w14:solidFill>
          </w14:textFill>
        </w:rPr>
      </w:pPr>
    </w:p>
    <w:p>
      <w:pPr>
        <w:ind w:firstLine="480"/>
        <w:rPr>
          <w:color w:val="000000" w:themeColor="text1"/>
          <w14:textFill>
            <w14:solidFill>
              <w14:schemeClr w14:val="tx1"/>
            </w14:solidFill>
          </w14:textFill>
        </w:rPr>
      </w:pPr>
    </w:p>
    <w:p>
      <w:pPr>
        <w:ind w:firstLine="480"/>
        <w:rPr>
          <w:color w:val="000000" w:themeColor="text1"/>
          <w14:textFill>
            <w14:solidFill>
              <w14:schemeClr w14:val="tx1"/>
            </w14:solidFill>
          </w14:textFill>
        </w:rPr>
      </w:pPr>
    </w:p>
    <w:p>
      <w:pPr>
        <w:ind w:firstLine="480"/>
        <w:rPr>
          <w:color w:val="000000" w:themeColor="text1"/>
          <w14:textFill>
            <w14:solidFill>
              <w14:schemeClr w14:val="tx1"/>
            </w14:solidFill>
          </w14:textFill>
        </w:rPr>
      </w:pPr>
    </w:p>
    <w:p>
      <w:pPr>
        <w:ind w:firstLine="480"/>
        <w:rPr>
          <w:color w:val="000000" w:themeColor="text1"/>
          <w14:textFill>
            <w14:solidFill>
              <w14:schemeClr w14:val="tx1"/>
            </w14:solidFill>
          </w14:textFill>
        </w:rPr>
      </w:pPr>
    </w:p>
    <w:p>
      <w:pPr>
        <w:pStyle w:val="2"/>
        <w:jc w:val="left"/>
        <w:rPr>
          <w:rFonts w:ascii="宋体" w:hAnsi="宋体" w:cs="仿宋_GB2312"/>
          <w:b w:val="0"/>
          <w:bCs w:val="0"/>
          <w:color w:val="000000" w:themeColor="text1"/>
          <w:kern w:val="0"/>
          <w:sz w:val="28"/>
          <w14:textFill>
            <w14:solidFill>
              <w14:schemeClr w14:val="tx1"/>
            </w14:solidFill>
          </w14:textFill>
        </w:rPr>
      </w:pPr>
      <w:r>
        <w:rPr>
          <w:rFonts w:hint="eastAsia" w:ascii="宋体" w:hAnsi="宋体" w:cs="仿宋_GB2312"/>
          <w:b w:val="0"/>
          <w:bCs w:val="0"/>
          <w:color w:val="000000" w:themeColor="text1"/>
          <w:kern w:val="0"/>
          <w:sz w:val="28"/>
          <w14:textFill>
            <w14:solidFill>
              <w14:schemeClr w14:val="tx1"/>
            </w14:solidFill>
          </w14:textFill>
        </w:rPr>
        <w:t>附件一</w:t>
      </w:r>
    </w:p>
    <w:p>
      <w:pPr>
        <w:pStyle w:val="2"/>
        <w:rPr>
          <w:color w:val="000000" w:themeColor="text1"/>
          <w14:textFill>
            <w14:solidFill>
              <w14:schemeClr w14:val="tx1"/>
            </w14:solidFill>
          </w14:textFill>
        </w:rPr>
      </w:pPr>
      <w:r>
        <w:rPr>
          <w:rFonts w:hint="eastAsia" w:ascii="华文中宋" w:hAnsi="华文中宋"/>
          <w:bCs w:val="0"/>
          <w:color w:val="000000" w:themeColor="text1"/>
          <w14:textFill>
            <w14:solidFill>
              <w14:schemeClr w14:val="tx1"/>
            </w14:solidFill>
          </w14:textFill>
        </w:rPr>
        <w:t>铁路专用线共用</w:t>
      </w:r>
      <w:r>
        <w:rPr>
          <w:rFonts w:hint="eastAsia"/>
          <w:color w:val="000000" w:themeColor="text1"/>
          <w14:textFill>
            <w14:solidFill>
              <w14:schemeClr w14:val="tx1"/>
            </w14:solidFill>
          </w14:textFill>
        </w:rPr>
        <w:t>协议</w:t>
      </w:r>
      <w:bookmarkEnd w:id="171"/>
    </w:p>
    <w:p>
      <w:pPr>
        <w:tabs>
          <w:tab w:val="left" w:pos="8100"/>
        </w:tabs>
        <w:spacing w:line="360" w:lineRule="auto"/>
        <w:ind w:firstLine="482"/>
        <w:jc w:val="center"/>
        <w:rPr>
          <w:rFonts w:eastAsia="黑体"/>
          <w:b/>
          <w:color w:val="000000" w:themeColor="text1"/>
          <w:u w:val="single"/>
          <w14:textFill>
            <w14:solidFill>
              <w14:schemeClr w14:val="tx1"/>
            </w14:solidFill>
          </w14:textFill>
        </w:rPr>
      </w:pPr>
      <w:r>
        <w:rPr>
          <w:rFonts w:hint="eastAsia" w:eastAsia="黑体"/>
          <w:b/>
          <w:color w:val="000000" w:themeColor="text1"/>
          <w14:textFill>
            <w14:solidFill>
              <w14:schemeClr w14:val="tx1"/>
            </w14:solidFill>
          </w14:textFill>
        </w:rPr>
        <w:t>协议</w:t>
      </w:r>
      <w:r>
        <w:rPr>
          <w:rFonts w:eastAsia="黑体"/>
          <w:b/>
          <w:color w:val="000000" w:themeColor="text1"/>
          <w14:textFill>
            <w14:solidFill>
              <w14:schemeClr w14:val="tx1"/>
            </w14:solidFill>
          </w14:textFill>
        </w:rPr>
        <w:t>编号:</w:t>
      </w:r>
      <w:r>
        <w:rPr>
          <w:rFonts w:eastAsia="黑体"/>
          <w:b/>
          <w:color w:val="000000" w:themeColor="text1"/>
          <w:u w:val="single"/>
          <w14:textFill>
            <w14:solidFill>
              <w14:schemeClr w14:val="tx1"/>
            </w14:solidFill>
          </w14:textFill>
        </w:rPr>
        <w:t xml:space="preserve">                 </w:t>
      </w:r>
    </w:p>
    <w:p>
      <w:pPr>
        <w:spacing w:line="366" w:lineRule="exact"/>
        <w:ind w:firstLine="482"/>
        <w:rPr>
          <w:b/>
          <w:color w:val="000000" w:themeColor="text1"/>
          <w14:textFill>
            <w14:solidFill>
              <w14:schemeClr w14:val="tx1"/>
            </w14:solidFill>
          </w14:textFill>
        </w:rPr>
      </w:pPr>
    </w:p>
    <w:p>
      <w:pPr>
        <w:adjustRightInd w:val="0"/>
        <w:snapToGrid w:val="0"/>
        <w:spacing w:line="366" w:lineRule="exact"/>
        <w:ind w:firstLine="482"/>
        <w:rPr>
          <w:b/>
          <w:color w:val="000000" w:themeColor="text1"/>
          <w14:textFill>
            <w14:solidFill>
              <w14:schemeClr w14:val="tx1"/>
            </w14:solidFill>
          </w14:textFill>
        </w:rPr>
      </w:pPr>
    </w:p>
    <w:p>
      <w:pPr>
        <w:adjustRightInd w:val="0"/>
        <w:snapToGrid w:val="0"/>
        <w:spacing w:line="366" w:lineRule="exact"/>
        <w:ind w:firstLine="482"/>
        <w:rPr>
          <w:b/>
          <w:color w:val="000000" w:themeColor="text1"/>
          <w14:textFill>
            <w14:solidFill>
              <w14:schemeClr w14:val="tx1"/>
            </w14:solidFill>
          </w14:textFill>
        </w:rPr>
      </w:pPr>
      <w:r>
        <w:rPr>
          <w:b/>
          <w:color w:val="000000" w:themeColor="text1"/>
          <w14:textFill>
            <w14:solidFill>
              <w14:schemeClr w14:val="tx1"/>
            </w14:solidFill>
          </w14:textFill>
        </w:rPr>
        <w:t xml:space="preserve">       </w:t>
      </w:r>
    </w:p>
    <w:p>
      <w:pPr>
        <w:adjustRightInd w:val="0"/>
        <w:snapToGrid w:val="0"/>
        <w:spacing w:line="366" w:lineRule="exact"/>
        <w:ind w:firstLine="1276" w:firstLineChars="303"/>
        <w:rPr>
          <w:b/>
          <w:color w:val="000000" w:themeColor="text1"/>
          <w:sz w:val="28"/>
          <w:szCs w:val="28"/>
          <w14:textFill>
            <w14:solidFill>
              <w14:schemeClr w14:val="tx1"/>
            </w14:solidFill>
          </w14:textFill>
        </w:rPr>
      </w:pPr>
      <w:r>
        <w:rPr>
          <w:b/>
          <w:color w:val="000000" w:themeColor="text1"/>
          <w:spacing w:val="70"/>
          <w:kern w:val="0"/>
          <w:sz w:val="28"/>
          <w:szCs w:val="28"/>
          <w:fitText w:val="3372" w:id="-1276279552"/>
          <w14:textFill>
            <w14:solidFill>
              <w14:schemeClr w14:val="tx1"/>
            </w14:solidFill>
          </w14:textFill>
        </w:rPr>
        <w:t>甲  方（铁路方</w:t>
      </w:r>
      <w:r>
        <w:rPr>
          <w:b/>
          <w:color w:val="000000" w:themeColor="text1"/>
          <w:spacing w:val="6"/>
          <w:kern w:val="0"/>
          <w:sz w:val="28"/>
          <w:szCs w:val="28"/>
          <w:fitText w:val="3372" w:id="-1276279552"/>
          <w14:textFill>
            <w14:solidFill>
              <w14:schemeClr w14:val="tx1"/>
            </w14:solidFill>
          </w14:textFill>
        </w:rPr>
        <w:t>）</w:t>
      </w:r>
      <w:r>
        <w:rPr>
          <w:b/>
          <w:color w:val="000000" w:themeColor="text1"/>
          <w:sz w:val="28"/>
          <w:szCs w:val="28"/>
          <w14:textFill>
            <w14:solidFill>
              <w14:schemeClr w14:val="tx1"/>
            </w14:solidFill>
          </w14:textFill>
        </w:rPr>
        <w:t>：</w:t>
      </w:r>
      <w:r>
        <w:rPr>
          <w:b/>
          <w:color w:val="000000" w:themeColor="text1"/>
          <w:sz w:val="28"/>
          <w:szCs w:val="28"/>
          <w:u w:val="thick"/>
          <w14:textFill>
            <w14:solidFill>
              <w14:schemeClr w14:val="tx1"/>
            </w14:solidFill>
          </w14:textFill>
        </w:rPr>
        <w:t xml:space="preserve">                            </w:t>
      </w:r>
    </w:p>
    <w:p>
      <w:pPr>
        <w:adjustRightInd w:val="0"/>
        <w:snapToGrid w:val="0"/>
        <w:spacing w:line="366" w:lineRule="exact"/>
        <w:ind w:firstLine="1276" w:firstLineChars="372"/>
        <w:rPr>
          <w:b/>
          <w:color w:val="000000" w:themeColor="text1"/>
          <w:sz w:val="28"/>
          <w:szCs w:val="28"/>
          <w:u w:val="single"/>
          <w14:textFill>
            <w14:solidFill>
              <w14:schemeClr w14:val="tx1"/>
            </w14:solidFill>
          </w14:textFill>
        </w:rPr>
      </w:pPr>
      <w:r>
        <w:rPr>
          <w:b/>
          <w:color w:val="000000" w:themeColor="text1"/>
          <w:spacing w:val="31"/>
          <w:kern w:val="0"/>
          <w:sz w:val="28"/>
          <w:szCs w:val="28"/>
          <w:fitText w:val="3372" w:id="-1276279551"/>
          <w14:textFill>
            <w14:solidFill>
              <w14:schemeClr w14:val="tx1"/>
            </w14:solidFill>
          </w14:textFill>
        </w:rPr>
        <w:t>法定代表人（负责人</w:t>
      </w:r>
      <w:r>
        <w:rPr>
          <w:b/>
          <w:color w:val="000000" w:themeColor="text1"/>
          <w:spacing w:val="7"/>
          <w:kern w:val="0"/>
          <w:sz w:val="28"/>
          <w:szCs w:val="28"/>
          <w:fitText w:val="3372" w:id="-1276279551"/>
          <w14:textFill>
            <w14:solidFill>
              <w14:schemeClr w14:val="tx1"/>
            </w14:solidFill>
          </w14:textFill>
        </w:rPr>
        <w:t>）</w:t>
      </w:r>
      <w:r>
        <w:rPr>
          <w:b/>
          <w:color w:val="000000" w:themeColor="text1"/>
          <w:sz w:val="28"/>
          <w:szCs w:val="28"/>
          <w14:textFill>
            <w14:solidFill>
              <w14:schemeClr w14:val="tx1"/>
            </w14:solidFill>
          </w14:textFill>
        </w:rPr>
        <w:t>：</w:t>
      </w:r>
      <w:r>
        <w:rPr>
          <w:b/>
          <w:color w:val="000000" w:themeColor="text1"/>
          <w:sz w:val="28"/>
          <w:szCs w:val="28"/>
          <w:u w:val="thick"/>
          <w14:textFill>
            <w14:solidFill>
              <w14:schemeClr w14:val="tx1"/>
            </w14:solidFill>
          </w14:textFill>
        </w:rPr>
        <w:t xml:space="preserve">                            </w:t>
      </w:r>
      <w:r>
        <w:rPr>
          <w:b/>
          <w:color w:val="000000" w:themeColor="text1"/>
          <w:sz w:val="28"/>
          <w:szCs w:val="28"/>
          <w:u w:val="single"/>
          <w14:textFill>
            <w14:solidFill>
              <w14:schemeClr w14:val="tx1"/>
            </w14:solidFill>
          </w14:textFill>
        </w:rPr>
        <w:t xml:space="preserve">   </w:t>
      </w:r>
      <w:r>
        <w:rPr>
          <w:b/>
          <w:color w:val="000000" w:themeColor="text1"/>
          <w:sz w:val="28"/>
          <w:szCs w:val="28"/>
          <w14:textFill>
            <w14:solidFill>
              <w14:schemeClr w14:val="tx1"/>
            </w14:solidFill>
          </w14:textFill>
        </w:rPr>
        <w:t xml:space="preserve">                 </w:t>
      </w:r>
    </w:p>
    <w:p>
      <w:pPr>
        <w:adjustRightInd w:val="0"/>
        <w:snapToGrid w:val="0"/>
        <w:spacing w:line="366" w:lineRule="exact"/>
        <w:ind w:firstLine="562"/>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 xml:space="preserve">     </w:t>
      </w:r>
      <w:r>
        <w:rPr>
          <w:rFonts w:hint="eastAsia"/>
          <w:b/>
          <w:color w:val="000000" w:themeColor="text1"/>
          <w:sz w:val="28"/>
          <w:szCs w:val="28"/>
          <w14:textFill>
            <w14:solidFill>
              <w14:schemeClr w14:val="tx1"/>
            </w14:solidFill>
          </w14:textFill>
        </w:rPr>
        <w:t>住                    所</w:t>
      </w:r>
      <w:r>
        <w:rPr>
          <w:b/>
          <w:color w:val="000000" w:themeColor="text1"/>
          <w:sz w:val="28"/>
          <w:szCs w:val="28"/>
          <w14:textFill>
            <w14:solidFill>
              <w14:schemeClr w14:val="tx1"/>
            </w14:solidFill>
          </w14:textFill>
        </w:rPr>
        <w:t>：</w:t>
      </w:r>
      <w:r>
        <w:rPr>
          <w:b/>
          <w:color w:val="000000" w:themeColor="text1"/>
          <w:sz w:val="28"/>
          <w:szCs w:val="28"/>
          <w:u w:val="thick"/>
          <w14:textFill>
            <w14:solidFill>
              <w14:schemeClr w14:val="tx1"/>
            </w14:solidFill>
          </w14:textFill>
        </w:rPr>
        <w:t xml:space="preserve">                             </w:t>
      </w:r>
      <w:r>
        <w:rPr>
          <w:b/>
          <w:color w:val="000000" w:themeColor="text1"/>
          <w:sz w:val="28"/>
          <w:szCs w:val="28"/>
          <w:u w:val="single"/>
          <w14:textFill>
            <w14:solidFill>
              <w14:schemeClr w14:val="tx1"/>
            </w14:solidFill>
          </w14:textFill>
        </w:rPr>
        <w:t xml:space="preserve">   </w:t>
      </w:r>
      <w:r>
        <w:rPr>
          <w:b/>
          <w:color w:val="000000" w:themeColor="text1"/>
          <w:sz w:val="28"/>
          <w:szCs w:val="28"/>
          <w14:textFill>
            <w14:solidFill>
              <w14:schemeClr w14:val="tx1"/>
            </w14:solidFill>
          </w14:textFill>
        </w:rPr>
        <w:t xml:space="preserve">                            </w:t>
      </w:r>
    </w:p>
    <w:p>
      <w:pPr>
        <w:adjustRightInd w:val="0"/>
        <w:snapToGrid w:val="0"/>
        <w:spacing w:line="366" w:lineRule="exact"/>
        <w:ind w:firstLine="562"/>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 xml:space="preserve">       </w:t>
      </w:r>
    </w:p>
    <w:p>
      <w:pPr>
        <w:adjustRightInd w:val="0"/>
        <w:snapToGrid w:val="0"/>
        <w:spacing w:line="366" w:lineRule="exact"/>
        <w:ind w:firstLine="562"/>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 xml:space="preserve">     </w:t>
      </w:r>
      <w:r>
        <w:rPr>
          <w:b/>
          <w:color w:val="000000" w:themeColor="text1"/>
          <w:spacing w:val="70"/>
          <w:kern w:val="0"/>
          <w:sz w:val="28"/>
          <w:szCs w:val="28"/>
          <w:fitText w:val="3372" w:id="-1276279550"/>
          <w14:textFill>
            <w14:solidFill>
              <w14:schemeClr w14:val="tx1"/>
            </w14:solidFill>
          </w14:textFill>
        </w:rPr>
        <w:t>乙  方（</w:t>
      </w:r>
      <w:r>
        <w:rPr>
          <w:rFonts w:hint="eastAsia"/>
          <w:b/>
          <w:color w:val="000000" w:themeColor="text1"/>
          <w:spacing w:val="70"/>
          <w:kern w:val="0"/>
          <w:sz w:val="28"/>
          <w:szCs w:val="28"/>
          <w:fitText w:val="3372" w:id="-1276279550"/>
          <w14:textFill>
            <w14:solidFill>
              <w14:schemeClr w14:val="tx1"/>
            </w14:solidFill>
          </w14:textFill>
        </w:rPr>
        <w:t>产权方</w:t>
      </w:r>
      <w:r>
        <w:rPr>
          <w:b/>
          <w:color w:val="000000" w:themeColor="text1"/>
          <w:spacing w:val="6"/>
          <w:kern w:val="0"/>
          <w:sz w:val="28"/>
          <w:szCs w:val="28"/>
          <w:fitText w:val="3372" w:id="-1276279550"/>
          <w14:textFill>
            <w14:solidFill>
              <w14:schemeClr w14:val="tx1"/>
            </w14:solidFill>
          </w14:textFill>
        </w:rPr>
        <w:t>）</w:t>
      </w:r>
      <w:r>
        <w:rPr>
          <w:b/>
          <w:color w:val="000000" w:themeColor="text1"/>
          <w:sz w:val="28"/>
          <w:szCs w:val="28"/>
          <w14:textFill>
            <w14:solidFill>
              <w14:schemeClr w14:val="tx1"/>
            </w14:solidFill>
          </w14:textFill>
        </w:rPr>
        <w:t>：</w:t>
      </w:r>
      <w:r>
        <w:rPr>
          <w:b/>
          <w:color w:val="000000" w:themeColor="text1"/>
          <w:sz w:val="28"/>
          <w:szCs w:val="28"/>
          <w:u w:val="thick"/>
          <w14:textFill>
            <w14:solidFill>
              <w14:schemeClr w14:val="tx1"/>
            </w14:solidFill>
          </w14:textFill>
        </w:rPr>
        <w:t xml:space="preserve">                            </w:t>
      </w:r>
      <w:r>
        <w:rPr>
          <w:b/>
          <w:color w:val="000000" w:themeColor="text1"/>
          <w:sz w:val="28"/>
          <w:szCs w:val="28"/>
          <w:u w:val="single"/>
          <w14:textFill>
            <w14:solidFill>
              <w14:schemeClr w14:val="tx1"/>
            </w14:solidFill>
          </w14:textFill>
        </w:rPr>
        <w:t xml:space="preserve">   </w:t>
      </w:r>
    </w:p>
    <w:p>
      <w:pPr>
        <w:adjustRightInd w:val="0"/>
        <w:snapToGrid w:val="0"/>
        <w:spacing w:line="366" w:lineRule="exact"/>
        <w:ind w:firstLine="562"/>
        <w:rPr>
          <w:b/>
          <w:color w:val="000000" w:themeColor="text1"/>
          <w:sz w:val="28"/>
          <w:szCs w:val="28"/>
          <w:u w:val="single"/>
          <w14:textFill>
            <w14:solidFill>
              <w14:schemeClr w14:val="tx1"/>
            </w14:solidFill>
          </w14:textFill>
        </w:rPr>
      </w:pPr>
      <w:r>
        <w:rPr>
          <w:b/>
          <w:color w:val="000000" w:themeColor="text1"/>
          <w:sz w:val="28"/>
          <w:szCs w:val="28"/>
          <w14:textFill>
            <w14:solidFill>
              <w14:schemeClr w14:val="tx1"/>
            </w14:solidFill>
          </w14:textFill>
        </w:rPr>
        <w:t xml:space="preserve">     </w:t>
      </w:r>
      <w:r>
        <w:rPr>
          <w:b/>
          <w:color w:val="000000" w:themeColor="text1"/>
          <w:spacing w:val="31"/>
          <w:kern w:val="0"/>
          <w:sz w:val="28"/>
          <w:szCs w:val="28"/>
          <w:fitText w:val="3372" w:id="-1276279549"/>
          <w14:textFill>
            <w14:solidFill>
              <w14:schemeClr w14:val="tx1"/>
            </w14:solidFill>
          </w14:textFill>
        </w:rPr>
        <w:t>法定代表人（负责人</w:t>
      </w:r>
      <w:r>
        <w:rPr>
          <w:b/>
          <w:color w:val="000000" w:themeColor="text1"/>
          <w:spacing w:val="7"/>
          <w:kern w:val="0"/>
          <w:sz w:val="28"/>
          <w:szCs w:val="28"/>
          <w:fitText w:val="3372" w:id="-1276279549"/>
          <w14:textFill>
            <w14:solidFill>
              <w14:schemeClr w14:val="tx1"/>
            </w14:solidFill>
          </w14:textFill>
        </w:rPr>
        <w:t>）</w:t>
      </w:r>
      <w:r>
        <w:rPr>
          <w:b/>
          <w:color w:val="000000" w:themeColor="text1"/>
          <w:sz w:val="28"/>
          <w:szCs w:val="28"/>
          <w14:textFill>
            <w14:solidFill>
              <w14:schemeClr w14:val="tx1"/>
            </w14:solidFill>
          </w14:textFill>
        </w:rPr>
        <w:t>：</w:t>
      </w:r>
      <w:r>
        <w:rPr>
          <w:b/>
          <w:color w:val="000000" w:themeColor="text1"/>
          <w:sz w:val="28"/>
          <w:szCs w:val="28"/>
          <w:u w:val="thick"/>
          <w14:textFill>
            <w14:solidFill>
              <w14:schemeClr w14:val="tx1"/>
            </w14:solidFill>
          </w14:textFill>
        </w:rPr>
        <w:t xml:space="preserve">                            </w:t>
      </w:r>
      <w:r>
        <w:rPr>
          <w:b/>
          <w:color w:val="000000" w:themeColor="text1"/>
          <w:sz w:val="28"/>
          <w:szCs w:val="28"/>
          <w:u w:val="single"/>
          <w14:textFill>
            <w14:solidFill>
              <w14:schemeClr w14:val="tx1"/>
            </w14:solidFill>
          </w14:textFill>
        </w:rPr>
        <w:t xml:space="preserve">   </w:t>
      </w:r>
      <w:r>
        <w:rPr>
          <w:b/>
          <w:color w:val="000000" w:themeColor="text1"/>
          <w:sz w:val="28"/>
          <w:szCs w:val="28"/>
          <w14:textFill>
            <w14:solidFill>
              <w14:schemeClr w14:val="tx1"/>
            </w14:solidFill>
          </w14:textFill>
        </w:rPr>
        <w:t xml:space="preserve">                 </w:t>
      </w:r>
    </w:p>
    <w:p>
      <w:pPr>
        <w:adjustRightInd w:val="0"/>
        <w:snapToGrid w:val="0"/>
        <w:spacing w:line="366" w:lineRule="exact"/>
        <w:ind w:firstLine="562"/>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 xml:space="preserve">     </w:t>
      </w:r>
      <w:r>
        <w:rPr>
          <w:rFonts w:hint="eastAsia"/>
          <w:b/>
          <w:color w:val="000000" w:themeColor="text1"/>
          <w:sz w:val="28"/>
          <w:szCs w:val="28"/>
          <w14:textFill>
            <w14:solidFill>
              <w14:schemeClr w14:val="tx1"/>
            </w14:solidFill>
          </w14:textFill>
        </w:rPr>
        <w:t>住                    所</w:t>
      </w:r>
      <w:r>
        <w:rPr>
          <w:b/>
          <w:color w:val="000000" w:themeColor="text1"/>
          <w:sz w:val="28"/>
          <w:szCs w:val="28"/>
          <w14:textFill>
            <w14:solidFill>
              <w14:schemeClr w14:val="tx1"/>
            </w14:solidFill>
          </w14:textFill>
        </w:rPr>
        <w:t>：</w:t>
      </w:r>
      <w:r>
        <w:rPr>
          <w:b/>
          <w:color w:val="000000" w:themeColor="text1"/>
          <w:sz w:val="28"/>
          <w:szCs w:val="28"/>
          <w:u w:val="thick"/>
          <w14:textFill>
            <w14:solidFill>
              <w14:schemeClr w14:val="tx1"/>
            </w14:solidFill>
          </w14:textFill>
        </w:rPr>
        <w:t xml:space="preserve">                            </w:t>
      </w:r>
      <w:r>
        <w:rPr>
          <w:b/>
          <w:color w:val="000000" w:themeColor="text1"/>
          <w:sz w:val="28"/>
          <w:szCs w:val="28"/>
          <w:u w:val="single"/>
          <w14:textFill>
            <w14:solidFill>
              <w14:schemeClr w14:val="tx1"/>
            </w14:solidFill>
          </w14:textFill>
        </w:rPr>
        <w:t xml:space="preserve">   </w:t>
      </w:r>
      <w:r>
        <w:rPr>
          <w:b/>
          <w:color w:val="000000" w:themeColor="text1"/>
          <w:sz w:val="28"/>
          <w:szCs w:val="28"/>
          <w14:textFill>
            <w14:solidFill>
              <w14:schemeClr w14:val="tx1"/>
            </w14:solidFill>
          </w14:textFill>
        </w:rPr>
        <w:t xml:space="preserve"> </w:t>
      </w:r>
    </w:p>
    <w:p>
      <w:pPr>
        <w:snapToGrid w:val="0"/>
        <w:spacing w:line="366" w:lineRule="exact"/>
        <w:ind w:firstLine="562"/>
        <w:rPr>
          <w:b/>
          <w:color w:val="000000" w:themeColor="text1"/>
          <w:sz w:val="28"/>
          <w:szCs w:val="28"/>
          <w14:textFill>
            <w14:solidFill>
              <w14:schemeClr w14:val="tx1"/>
            </w14:solidFill>
          </w14:textFill>
        </w:rPr>
      </w:pPr>
    </w:p>
    <w:p>
      <w:pPr>
        <w:adjustRightInd w:val="0"/>
        <w:snapToGrid w:val="0"/>
        <w:spacing w:line="366" w:lineRule="exact"/>
        <w:ind w:firstLine="1276" w:firstLineChars="303"/>
        <w:rPr>
          <w:b/>
          <w:color w:val="000000" w:themeColor="text1"/>
          <w:sz w:val="28"/>
          <w:szCs w:val="28"/>
          <w14:textFill>
            <w14:solidFill>
              <w14:schemeClr w14:val="tx1"/>
            </w14:solidFill>
          </w14:textFill>
        </w:rPr>
      </w:pPr>
      <w:r>
        <w:rPr>
          <w:rFonts w:hint="eastAsia"/>
          <w:b/>
          <w:color w:val="000000" w:themeColor="text1"/>
          <w:spacing w:val="70"/>
          <w:kern w:val="0"/>
          <w:sz w:val="28"/>
          <w:szCs w:val="28"/>
          <w:fitText w:val="3372" w:id="-1276279548"/>
          <w14:textFill>
            <w14:solidFill>
              <w14:schemeClr w14:val="tx1"/>
            </w14:solidFill>
          </w14:textFill>
        </w:rPr>
        <w:t>丙</w:t>
      </w:r>
      <w:r>
        <w:rPr>
          <w:b/>
          <w:color w:val="000000" w:themeColor="text1"/>
          <w:spacing w:val="70"/>
          <w:kern w:val="0"/>
          <w:sz w:val="28"/>
          <w:szCs w:val="28"/>
          <w:fitText w:val="3372" w:id="-1276279548"/>
          <w14:textFill>
            <w14:solidFill>
              <w14:schemeClr w14:val="tx1"/>
            </w14:solidFill>
          </w14:textFill>
        </w:rPr>
        <w:t xml:space="preserve">  方（</w:t>
      </w:r>
      <w:r>
        <w:rPr>
          <w:rFonts w:hint="eastAsia"/>
          <w:b/>
          <w:color w:val="000000" w:themeColor="text1"/>
          <w:spacing w:val="70"/>
          <w:kern w:val="0"/>
          <w:sz w:val="28"/>
          <w:szCs w:val="28"/>
          <w:fitText w:val="3372" w:id="-1276279548"/>
          <w14:textFill>
            <w14:solidFill>
              <w14:schemeClr w14:val="tx1"/>
            </w14:solidFill>
          </w14:textFill>
        </w:rPr>
        <w:t>共用方</w:t>
      </w:r>
      <w:r>
        <w:rPr>
          <w:b/>
          <w:color w:val="000000" w:themeColor="text1"/>
          <w:spacing w:val="6"/>
          <w:kern w:val="0"/>
          <w:sz w:val="28"/>
          <w:szCs w:val="28"/>
          <w:fitText w:val="3372" w:id="-1276279548"/>
          <w14:textFill>
            <w14:solidFill>
              <w14:schemeClr w14:val="tx1"/>
            </w14:solidFill>
          </w14:textFill>
        </w:rPr>
        <w:t>）</w:t>
      </w:r>
      <w:r>
        <w:rPr>
          <w:b/>
          <w:color w:val="000000" w:themeColor="text1"/>
          <w:sz w:val="28"/>
          <w:szCs w:val="28"/>
          <w14:textFill>
            <w14:solidFill>
              <w14:schemeClr w14:val="tx1"/>
            </w14:solidFill>
          </w14:textFill>
        </w:rPr>
        <w:t>：</w:t>
      </w:r>
      <w:r>
        <w:rPr>
          <w:b/>
          <w:color w:val="000000" w:themeColor="text1"/>
          <w:sz w:val="28"/>
          <w:szCs w:val="28"/>
          <w:u w:val="thick"/>
          <w14:textFill>
            <w14:solidFill>
              <w14:schemeClr w14:val="tx1"/>
            </w14:solidFill>
          </w14:textFill>
        </w:rPr>
        <w:t xml:space="preserve">                            </w:t>
      </w:r>
      <w:r>
        <w:rPr>
          <w:b/>
          <w:color w:val="000000" w:themeColor="text1"/>
          <w:sz w:val="28"/>
          <w:szCs w:val="28"/>
          <w:u w:val="single"/>
          <w14:textFill>
            <w14:solidFill>
              <w14:schemeClr w14:val="tx1"/>
            </w14:solidFill>
          </w14:textFill>
        </w:rPr>
        <w:t xml:space="preserve">    </w:t>
      </w:r>
    </w:p>
    <w:p>
      <w:pPr>
        <w:adjustRightInd w:val="0"/>
        <w:snapToGrid w:val="0"/>
        <w:spacing w:line="366" w:lineRule="exact"/>
        <w:ind w:firstLine="562"/>
        <w:rPr>
          <w:b/>
          <w:color w:val="000000" w:themeColor="text1"/>
          <w:sz w:val="28"/>
          <w:szCs w:val="28"/>
          <w:u w:val="single"/>
          <w14:textFill>
            <w14:solidFill>
              <w14:schemeClr w14:val="tx1"/>
            </w14:solidFill>
          </w14:textFill>
        </w:rPr>
      </w:pPr>
      <w:r>
        <w:rPr>
          <w:b/>
          <w:color w:val="000000" w:themeColor="text1"/>
          <w:sz w:val="28"/>
          <w:szCs w:val="28"/>
          <w14:textFill>
            <w14:solidFill>
              <w14:schemeClr w14:val="tx1"/>
            </w14:solidFill>
          </w14:textFill>
        </w:rPr>
        <w:t xml:space="preserve">     </w:t>
      </w:r>
      <w:r>
        <w:rPr>
          <w:b/>
          <w:color w:val="000000" w:themeColor="text1"/>
          <w:spacing w:val="31"/>
          <w:kern w:val="0"/>
          <w:sz w:val="28"/>
          <w:szCs w:val="28"/>
          <w:fitText w:val="3372" w:id="-1276279547"/>
          <w14:textFill>
            <w14:solidFill>
              <w14:schemeClr w14:val="tx1"/>
            </w14:solidFill>
          </w14:textFill>
        </w:rPr>
        <w:t>法定代表人（负责人</w:t>
      </w:r>
      <w:r>
        <w:rPr>
          <w:b/>
          <w:color w:val="000000" w:themeColor="text1"/>
          <w:spacing w:val="7"/>
          <w:kern w:val="0"/>
          <w:sz w:val="28"/>
          <w:szCs w:val="28"/>
          <w:fitText w:val="3372" w:id="-1276279547"/>
          <w14:textFill>
            <w14:solidFill>
              <w14:schemeClr w14:val="tx1"/>
            </w14:solidFill>
          </w14:textFill>
        </w:rPr>
        <w:t>）</w:t>
      </w:r>
      <w:r>
        <w:rPr>
          <w:b/>
          <w:color w:val="000000" w:themeColor="text1"/>
          <w:sz w:val="28"/>
          <w:szCs w:val="28"/>
          <w14:textFill>
            <w14:solidFill>
              <w14:schemeClr w14:val="tx1"/>
            </w14:solidFill>
          </w14:textFill>
        </w:rPr>
        <w:t>：</w:t>
      </w:r>
      <w:r>
        <w:rPr>
          <w:b/>
          <w:color w:val="000000" w:themeColor="text1"/>
          <w:sz w:val="28"/>
          <w:szCs w:val="28"/>
          <w:u w:val="thick"/>
          <w14:textFill>
            <w14:solidFill>
              <w14:schemeClr w14:val="tx1"/>
            </w14:solidFill>
          </w14:textFill>
        </w:rPr>
        <w:t xml:space="preserve">                            </w:t>
      </w:r>
      <w:r>
        <w:rPr>
          <w:b/>
          <w:color w:val="000000" w:themeColor="text1"/>
          <w:sz w:val="28"/>
          <w:szCs w:val="28"/>
          <w:u w:val="single"/>
          <w14:textFill>
            <w14:solidFill>
              <w14:schemeClr w14:val="tx1"/>
            </w14:solidFill>
          </w14:textFill>
        </w:rPr>
        <w:t xml:space="preserve">    </w:t>
      </w:r>
      <w:r>
        <w:rPr>
          <w:b/>
          <w:color w:val="000000" w:themeColor="text1"/>
          <w:sz w:val="28"/>
          <w:szCs w:val="28"/>
          <w14:textFill>
            <w14:solidFill>
              <w14:schemeClr w14:val="tx1"/>
            </w14:solidFill>
          </w14:textFill>
        </w:rPr>
        <w:t xml:space="preserve">                 </w:t>
      </w:r>
    </w:p>
    <w:p>
      <w:pPr>
        <w:snapToGrid w:val="0"/>
        <w:spacing w:line="366" w:lineRule="exact"/>
        <w:ind w:firstLine="562"/>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 xml:space="preserve">     </w:t>
      </w:r>
      <w:r>
        <w:rPr>
          <w:rFonts w:hint="eastAsia"/>
          <w:b/>
          <w:color w:val="000000" w:themeColor="text1"/>
          <w:sz w:val="28"/>
          <w:szCs w:val="28"/>
          <w14:textFill>
            <w14:solidFill>
              <w14:schemeClr w14:val="tx1"/>
            </w14:solidFill>
          </w14:textFill>
        </w:rPr>
        <w:t>住                    所</w:t>
      </w:r>
      <w:r>
        <w:rPr>
          <w:b/>
          <w:color w:val="000000" w:themeColor="text1"/>
          <w:sz w:val="28"/>
          <w:szCs w:val="28"/>
          <w14:textFill>
            <w14:solidFill>
              <w14:schemeClr w14:val="tx1"/>
            </w14:solidFill>
          </w14:textFill>
        </w:rPr>
        <w:t>：</w:t>
      </w:r>
      <w:r>
        <w:rPr>
          <w:b/>
          <w:color w:val="000000" w:themeColor="text1"/>
          <w:sz w:val="28"/>
          <w:szCs w:val="28"/>
          <w:u w:val="thick"/>
          <w14:textFill>
            <w14:solidFill>
              <w14:schemeClr w14:val="tx1"/>
            </w14:solidFill>
          </w14:textFill>
        </w:rPr>
        <w:t xml:space="preserve">                            </w:t>
      </w:r>
    </w:p>
    <w:p>
      <w:pPr>
        <w:snapToGrid w:val="0"/>
        <w:spacing w:line="366" w:lineRule="exact"/>
        <w:ind w:firstLine="562"/>
        <w:rPr>
          <w:b/>
          <w:color w:val="000000" w:themeColor="text1"/>
          <w:sz w:val="28"/>
          <w:szCs w:val="28"/>
          <w14:textFill>
            <w14:solidFill>
              <w14:schemeClr w14:val="tx1"/>
            </w14:solidFill>
          </w14:textFill>
        </w:rPr>
      </w:pPr>
    </w:p>
    <w:p>
      <w:pPr>
        <w:tabs>
          <w:tab w:val="left" w:pos="2205"/>
        </w:tabs>
        <w:snapToGrid w:val="0"/>
        <w:spacing w:line="366" w:lineRule="exact"/>
        <w:ind w:firstLine="562"/>
        <w:rPr>
          <w:b/>
          <w:color w:val="000000" w:themeColor="text1"/>
          <w:sz w:val="28"/>
          <w:szCs w:val="28"/>
          <w14:textFill>
            <w14:solidFill>
              <w14:schemeClr w14:val="tx1"/>
            </w14:solidFill>
          </w14:textFill>
        </w:rPr>
      </w:pPr>
    </w:p>
    <w:p>
      <w:pPr>
        <w:tabs>
          <w:tab w:val="left" w:pos="2205"/>
        </w:tabs>
        <w:snapToGrid w:val="0"/>
        <w:spacing w:line="370" w:lineRule="exact"/>
        <w:ind w:firstLine="560"/>
        <w:rPr>
          <w:color w:val="000000" w:themeColor="text1"/>
          <w:sz w:val="28"/>
          <w:szCs w:val="28"/>
          <w14:textFill>
            <w14:solidFill>
              <w14:schemeClr w14:val="tx1"/>
            </w14:solidFill>
          </w14:textFill>
        </w:rPr>
      </w:pPr>
    </w:p>
    <w:p>
      <w:pPr>
        <w:snapToGrid w:val="0"/>
        <w:spacing w:line="370" w:lineRule="exact"/>
        <w:ind w:firstLine="2100" w:firstLineChars="750"/>
        <w:rPr>
          <w:color w:val="000000" w:themeColor="text1"/>
          <w:sz w:val="28"/>
          <w:szCs w:val="28"/>
          <w14:textFill>
            <w14:solidFill>
              <w14:schemeClr w14:val="tx1"/>
            </w14:solidFill>
          </w14:textFill>
        </w:rPr>
      </w:pPr>
      <w:r>
        <w:rPr>
          <w:rFonts w:hAnsi="宋体"/>
          <w:color w:val="000000" w:themeColor="text1"/>
          <w:sz w:val="28"/>
          <w:szCs w:val="28"/>
          <w14:textFill>
            <w14:solidFill>
              <w14:schemeClr w14:val="tx1"/>
            </w14:solidFill>
          </w14:textFill>
        </w:rPr>
        <w:t>签订日期：</w:t>
      </w:r>
      <w:r>
        <w:rPr>
          <w:color w:val="000000" w:themeColor="text1"/>
          <w:sz w:val="28"/>
          <w:szCs w:val="28"/>
          <w:u w:val="single"/>
          <w14:textFill>
            <w14:solidFill>
              <w14:schemeClr w14:val="tx1"/>
            </w14:solidFill>
          </w14:textFill>
        </w:rPr>
        <w:t xml:space="preserve">      </w:t>
      </w:r>
      <w:r>
        <w:rPr>
          <w:rFonts w:hAnsi="宋体"/>
          <w:color w:val="000000" w:themeColor="text1"/>
          <w:sz w:val="28"/>
          <w:szCs w:val="28"/>
          <w14:textFill>
            <w14:solidFill>
              <w14:schemeClr w14:val="tx1"/>
            </w14:solidFill>
          </w14:textFill>
        </w:rPr>
        <w:t>年</w:t>
      </w:r>
      <w:r>
        <w:rPr>
          <w:color w:val="000000" w:themeColor="text1"/>
          <w:sz w:val="28"/>
          <w:szCs w:val="28"/>
          <w:u w:val="single"/>
          <w14:textFill>
            <w14:solidFill>
              <w14:schemeClr w14:val="tx1"/>
            </w14:solidFill>
          </w14:textFill>
        </w:rPr>
        <w:t xml:space="preserve">      </w:t>
      </w:r>
      <w:r>
        <w:rPr>
          <w:rFonts w:hAnsi="宋体"/>
          <w:color w:val="000000" w:themeColor="text1"/>
          <w:sz w:val="28"/>
          <w:szCs w:val="28"/>
          <w14:textFill>
            <w14:solidFill>
              <w14:schemeClr w14:val="tx1"/>
            </w14:solidFill>
          </w14:textFill>
        </w:rPr>
        <w:t>月</w:t>
      </w:r>
      <w:r>
        <w:rPr>
          <w:color w:val="000000" w:themeColor="text1"/>
          <w:sz w:val="28"/>
          <w:szCs w:val="28"/>
          <w:u w:val="single"/>
          <w14:textFill>
            <w14:solidFill>
              <w14:schemeClr w14:val="tx1"/>
            </w14:solidFill>
          </w14:textFill>
        </w:rPr>
        <w:t xml:space="preserve">      </w:t>
      </w:r>
      <w:r>
        <w:rPr>
          <w:rFonts w:hAnsi="宋体"/>
          <w:color w:val="000000" w:themeColor="text1"/>
          <w:sz w:val="28"/>
          <w:szCs w:val="28"/>
          <w14:textFill>
            <w14:solidFill>
              <w14:schemeClr w14:val="tx1"/>
            </w14:solidFill>
          </w14:textFill>
        </w:rPr>
        <w:t>日</w:t>
      </w:r>
    </w:p>
    <w:p>
      <w:pPr>
        <w:snapToGrid w:val="0"/>
        <w:spacing w:line="370" w:lineRule="exact"/>
        <w:ind w:firstLine="2100" w:firstLineChars="750"/>
        <w:rPr>
          <w:rFonts w:eastAsiaTheme="minorEastAsia"/>
          <w:color w:val="000000" w:themeColor="text1"/>
          <w:sz w:val="28"/>
          <w:szCs w:val="28"/>
          <w14:textFill>
            <w14:solidFill>
              <w14:schemeClr w14:val="tx1"/>
            </w14:solidFill>
          </w14:textFill>
        </w:rPr>
      </w:pPr>
      <w:r>
        <w:rPr>
          <w:rFonts w:hAnsi="宋体"/>
          <w:color w:val="000000" w:themeColor="text1"/>
          <w:sz w:val="28"/>
          <w:szCs w:val="28"/>
          <w14:textFill>
            <w14:solidFill>
              <w14:schemeClr w14:val="tx1"/>
            </w14:solidFill>
          </w14:textFill>
        </w:rPr>
        <w:t>签订地点：</w:t>
      </w:r>
      <w:r>
        <w:rPr>
          <w:color w:val="000000" w:themeColor="text1"/>
          <w:sz w:val="28"/>
          <w:szCs w:val="28"/>
          <w:u w:val="single"/>
          <w14:textFill>
            <w14:solidFill>
              <w14:schemeClr w14:val="tx1"/>
            </w14:solidFill>
          </w14:textFill>
        </w:rPr>
        <w:t xml:space="preserve">                        </w:t>
      </w:r>
    </w:p>
    <w:p>
      <w:pPr>
        <w:snapToGrid w:val="0"/>
        <w:spacing w:line="370" w:lineRule="exact"/>
        <w:ind w:firstLine="640"/>
        <w:jc w:val="center"/>
        <w:rPr>
          <w:rFonts w:ascii="黑体" w:hAnsi="黑体" w:eastAsia="黑体"/>
          <w:color w:val="000000" w:themeColor="text1"/>
          <w:sz w:val="32"/>
          <w:szCs w:val="32"/>
          <w14:textFill>
            <w14:solidFill>
              <w14:schemeClr w14:val="tx1"/>
            </w14:solidFill>
          </w14:textFill>
        </w:rPr>
      </w:pPr>
    </w:p>
    <w:p>
      <w:pPr>
        <w:snapToGrid w:val="0"/>
        <w:spacing w:line="370" w:lineRule="exact"/>
        <w:ind w:firstLine="640"/>
        <w:jc w:val="center"/>
        <w:rPr>
          <w:rFonts w:ascii="黑体" w:hAnsi="黑体" w:eastAsia="黑体"/>
          <w:color w:val="000000" w:themeColor="text1"/>
          <w:sz w:val="32"/>
          <w:szCs w:val="32"/>
          <w14:textFill>
            <w14:solidFill>
              <w14:schemeClr w14:val="tx1"/>
            </w14:solidFill>
          </w14:textFill>
        </w:rPr>
      </w:pPr>
    </w:p>
    <w:p>
      <w:pPr>
        <w:snapToGrid w:val="0"/>
        <w:spacing w:line="370" w:lineRule="exact"/>
        <w:ind w:firstLine="640"/>
        <w:jc w:val="center"/>
        <w:rPr>
          <w:rFonts w:ascii="黑体" w:hAnsi="黑体" w:eastAsia="黑体"/>
          <w:color w:val="000000" w:themeColor="text1"/>
          <w:sz w:val="32"/>
          <w:szCs w:val="32"/>
          <w14:textFill>
            <w14:solidFill>
              <w14:schemeClr w14:val="tx1"/>
            </w14:solidFill>
          </w14:textFill>
        </w:rPr>
      </w:pPr>
    </w:p>
    <w:p>
      <w:pPr>
        <w:snapToGrid w:val="0"/>
        <w:spacing w:line="370" w:lineRule="exact"/>
        <w:ind w:firstLine="640"/>
        <w:jc w:val="center"/>
        <w:rPr>
          <w:rFonts w:ascii="黑体" w:hAnsi="黑体" w:eastAsia="黑体"/>
          <w:color w:val="000000" w:themeColor="text1"/>
          <w:sz w:val="32"/>
          <w:szCs w:val="32"/>
          <w14:textFill>
            <w14:solidFill>
              <w14:schemeClr w14:val="tx1"/>
            </w14:solidFill>
          </w14:textFill>
        </w:rPr>
      </w:pPr>
    </w:p>
    <w:p>
      <w:pPr>
        <w:snapToGrid w:val="0"/>
        <w:spacing w:line="370" w:lineRule="exact"/>
        <w:ind w:firstLine="640"/>
        <w:jc w:val="center"/>
        <w:rPr>
          <w:rFonts w:ascii="黑体" w:hAnsi="黑体" w:eastAsia="黑体"/>
          <w:color w:val="000000" w:themeColor="text1"/>
          <w:sz w:val="32"/>
          <w:szCs w:val="32"/>
          <w14:textFill>
            <w14:solidFill>
              <w14:schemeClr w14:val="tx1"/>
            </w14:solidFill>
          </w14:textFill>
        </w:rPr>
      </w:pPr>
    </w:p>
    <w:p>
      <w:pPr>
        <w:snapToGrid w:val="0"/>
        <w:spacing w:line="370" w:lineRule="exact"/>
        <w:ind w:firstLine="640"/>
        <w:jc w:val="center"/>
        <w:rPr>
          <w:rFonts w:ascii="黑体" w:hAnsi="黑体" w:eastAsia="黑体"/>
          <w:color w:val="000000" w:themeColor="text1"/>
          <w:sz w:val="32"/>
          <w:szCs w:val="32"/>
          <w14:textFill>
            <w14:solidFill>
              <w14:schemeClr w14:val="tx1"/>
            </w14:solidFill>
          </w14:textFill>
        </w:rPr>
      </w:pPr>
    </w:p>
    <w:p>
      <w:pPr>
        <w:snapToGrid w:val="0"/>
        <w:spacing w:line="370" w:lineRule="exact"/>
        <w:ind w:firstLine="640"/>
        <w:jc w:val="center"/>
        <w:rPr>
          <w:rFonts w:ascii="黑体" w:hAnsi="黑体" w:eastAsia="黑体"/>
          <w:color w:val="000000" w:themeColor="text1"/>
          <w:sz w:val="32"/>
          <w:szCs w:val="32"/>
          <w14:textFill>
            <w14:solidFill>
              <w14:schemeClr w14:val="tx1"/>
            </w14:solidFill>
          </w14:textFill>
        </w:rPr>
      </w:pPr>
    </w:p>
    <w:p>
      <w:pPr>
        <w:snapToGrid w:val="0"/>
        <w:spacing w:line="370" w:lineRule="exact"/>
        <w:ind w:firstLine="640"/>
        <w:jc w:val="center"/>
        <w:rPr>
          <w:rFonts w:ascii="黑体" w:hAnsi="黑体" w:eastAsia="黑体"/>
          <w:color w:val="000000" w:themeColor="text1"/>
          <w:sz w:val="32"/>
          <w:szCs w:val="32"/>
          <w14:textFill>
            <w14:solidFill>
              <w14:schemeClr w14:val="tx1"/>
            </w14:solidFill>
          </w14:textFill>
        </w:rPr>
      </w:pPr>
    </w:p>
    <w:p>
      <w:pPr>
        <w:pStyle w:val="2"/>
      </w:pPr>
    </w:p>
    <w:p>
      <w:pPr>
        <w:ind w:firstLine="480"/>
      </w:pPr>
    </w:p>
    <w:p>
      <w:pPr>
        <w:snapToGrid w:val="0"/>
        <w:spacing w:line="370" w:lineRule="exact"/>
        <w:ind w:firstLine="640"/>
        <w:jc w:val="center"/>
        <w:rPr>
          <w:color w:val="000000" w:themeColor="text1"/>
          <w:sz w:val="28"/>
          <w:szCs w:val="28"/>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使用说明</w:t>
      </w:r>
    </w:p>
    <w:p>
      <w:pPr>
        <w:snapToGrid w:val="0"/>
        <w:spacing w:line="370" w:lineRule="exact"/>
        <w:ind w:firstLine="560"/>
        <w:rPr>
          <w:color w:val="000000" w:themeColor="text1"/>
          <w:sz w:val="28"/>
          <w:szCs w:val="28"/>
          <w14:textFill>
            <w14:solidFill>
              <w14:schemeClr w14:val="tx1"/>
            </w14:solidFill>
          </w14:textFill>
        </w:rPr>
      </w:pPr>
    </w:p>
    <w:p>
      <w:pPr>
        <w:snapToGrid w:val="0"/>
        <w:spacing w:line="370" w:lineRule="exact"/>
        <w:ind w:firstLine="56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 本</w:t>
      </w:r>
      <w:r>
        <w:rPr>
          <w:rFonts w:hint="eastAsia"/>
          <w:color w:val="000000" w:themeColor="text1"/>
          <w:sz w:val="28"/>
          <w:szCs w:val="28"/>
          <w14:textFill>
            <w14:solidFill>
              <w14:schemeClr w14:val="tx1"/>
            </w14:solidFill>
          </w14:textFill>
        </w:rPr>
        <w:t>协议</w:t>
      </w:r>
      <w:r>
        <w:rPr>
          <w:color w:val="000000" w:themeColor="text1"/>
          <w:sz w:val="28"/>
          <w:szCs w:val="28"/>
          <w14:textFill>
            <w14:solidFill>
              <w14:schemeClr w14:val="tx1"/>
            </w14:solidFill>
          </w14:textFill>
        </w:rPr>
        <w:t>适用于铁路局集团公司所属各车务运输站段管理专用线共用所涉及的</w:t>
      </w:r>
      <w:r>
        <w:rPr>
          <w:rFonts w:hint="eastAsia"/>
          <w:color w:val="000000" w:themeColor="text1"/>
          <w:sz w:val="28"/>
          <w:szCs w:val="28"/>
          <w14:textFill>
            <w14:solidFill>
              <w14:schemeClr w14:val="tx1"/>
            </w14:solidFill>
          </w14:textFill>
        </w:rPr>
        <w:t>相关</w:t>
      </w:r>
      <w:r>
        <w:rPr>
          <w:color w:val="000000" w:themeColor="text1"/>
          <w:sz w:val="28"/>
          <w:szCs w:val="28"/>
          <w14:textFill>
            <w14:solidFill>
              <w14:schemeClr w14:val="tx1"/>
            </w14:solidFill>
          </w14:textFill>
        </w:rPr>
        <w:t>事项。</w:t>
      </w:r>
    </w:p>
    <w:p>
      <w:pPr>
        <w:snapToGrid w:val="0"/>
        <w:spacing w:line="370" w:lineRule="exact"/>
        <w:ind w:firstLine="560"/>
        <w:rPr>
          <w:color w:val="000000" w:themeColor="text1"/>
          <w:sz w:val="28"/>
          <w:szCs w:val="28"/>
          <w:lang w:val="zh-CN"/>
          <w14:textFill>
            <w14:solidFill>
              <w14:schemeClr w14:val="tx1"/>
            </w14:solidFill>
          </w14:textFill>
        </w:rPr>
      </w:pPr>
      <w:r>
        <w:rPr>
          <w:color w:val="000000" w:themeColor="text1"/>
          <w:sz w:val="28"/>
          <w:szCs w:val="28"/>
          <w:lang w:val="zh-CN"/>
          <w14:textFill>
            <w14:solidFill>
              <w14:schemeClr w14:val="tx1"/>
            </w14:solidFill>
          </w14:textFill>
        </w:rPr>
        <w:t>2.根据</w:t>
      </w:r>
      <w:r>
        <w:rPr>
          <w:color w:val="000000" w:themeColor="text1"/>
          <w:sz w:val="28"/>
          <w:szCs w:val="28"/>
          <w14:textFill>
            <w14:solidFill>
              <w14:schemeClr w14:val="tx1"/>
            </w14:solidFill>
          </w14:textFill>
        </w:rPr>
        <w:t>专用线共用</w:t>
      </w:r>
      <w:r>
        <w:rPr>
          <w:color w:val="000000" w:themeColor="text1"/>
          <w:sz w:val="28"/>
          <w:szCs w:val="28"/>
          <w:lang w:val="zh-CN"/>
          <w14:textFill>
            <w14:solidFill>
              <w14:schemeClr w14:val="tx1"/>
            </w14:solidFill>
          </w14:textFill>
        </w:rPr>
        <w:t>具体实际，填写</w:t>
      </w:r>
      <w:r>
        <w:rPr>
          <w:rFonts w:hint="eastAsia"/>
          <w:color w:val="000000" w:themeColor="text1"/>
          <w:sz w:val="28"/>
          <w:szCs w:val="28"/>
          <w:lang w:val="zh-CN"/>
          <w14:textFill>
            <w14:solidFill>
              <w14:schemeClr w14:val="tx1"/>
            </w14:solidFill>
          </w14:textFill>
        </w:rPr>
        <w:t>协议</w:t>
      </w:r>
      <w:r>
        <w:rPr>
          <w:color w:val="000000" w:themeColor="text1"/>
          <w:sz w:val="28"/>
          <w:szCs w:val="28"/>
          <w:lang w:val="zh-CN"/>
          <w14:textFill>
            <w14:solidFill>
              <w14:schemeClr w14:val="tx1"/>
            </w14:solidFill>
          </w14:textFill>
        </w:rPr>
        <w:t>文本留白内容。文本留白处均需进行填写，若条款留白处不适用，请填写“/”。</w:t>
      </w:r>
    </w:p>
    <w:p>
      <w:pPr>
        <w:snapToGrid w:val="0"/>
        <w:spacing w:line="370" w:lineRule="exact"/>
        <w:ind w:firstLine="560"/>
        <w:rPr>
          <w:color w:val="000000" w:themeColor="text1"/>
          <w:sz w:val="28"/>
          <w:szCs w:val="28"/>
          <w14:textFill>
            <w14:solidFill>
              <w14:schemeClr w14:val="tx1"/>
            </w14:solidFill>
          </w14:textFill>
        </w:rPr>
      </w:pPr>
      <w:r>
        <w:rPr>
          <w:color w:val="000000" w:themeColor="text1"/>
          <w:sz w:val="28"/>
          <w:szCs w:val="28"/>
          <w:lang w:val="zh-CN"/>
          <w14:textFill>
            <w14:solidFill>
              <w14:schemeClr w14:val="tx1"/>
            </w14:solidFill>
          </w14:textFill>
        </w:rPr>
        <w:t>3.</w:t>
      </w:r>
      <w:r>
        <w:rPr>
          <w:bCs/>
          <w:color w:val="000000" w:themeColor="text1"/>
          <w:sz w:val="28"/>
          <w:szCs w:val="28"/>
          <w14:textFill>
            <w14:solidFill>
              <w14:schemeClr w14:val="tx1"/>
            </w14:solidFill>
          </w14:textFill>
        </w:rPr>
        <w:t>若</w:t>
      </w:r>
      <w:r>
        <w:rPr>
          <w:rFonts w:hint="eastAsia"/>
          <w:bCs/>
          <w:color w:val="000000" w:themeColor="text1"/>
          <w:sz w:val="28"/>
          <w:szCs w:val="28"/>
          <w14:textFill>
            <w14:solidFill>
              <w14:schemeClr w14:val="tx1"/>
            </w14:solidFill>
          </w14:textFill>
        </w:rPr>
        <w:t>协议</w:t>
      </w:r>
      <w:r>
        <w:rPr>
          <w:bCs/>
          <w:color w:val="000000" w:themeColor="text1"/>
          <w:sz w:val="28"/>
          <w:szCs w:val="28"/>
          <w14:textFill>
            <w14:solidFill>
              <w14:schemeClr w14:val="tx1"/>
            </w14:solidFill>
          </w14:textFill>
        </w:rPr>
        <w:t>三方均为总公司所属单位，则“争议解决”应选择第3种方式，</w:t>
      </w:r>
      <w:r>
        <w:rPr>
          <w:color w:val="000000" w:themeColor="text1"/>
          <w:sz w:val="28"/>
          <w:szCs w:val="28"/>
          <w14:textFill>
            <w14:solidFill>
              <w14:schemeClr w14:val="tx1"/>
            </w14:solidFill>
          </w14:textFill>
        </w:rPr>
        <w:t>按照中国铁路总公司相关规定调解解决。</w:t>
      </w:r>
    </w:p>
    <w:p>
      <w:pPr>
        <w:snapToGrid w:val="0"/>
        <w:spacing w:line="370" w:lineRule="exact"/>
        <w:ind w:firstLine="560"/>
        <w:rPr>
          <w:color w:val="000000" w:themeColor="text1"/>
          <w:sz w:val="28"/>
          <w:szCs w:val="28"/>
          <w14:textFill>
            <w14:solidFill>
              <w14:schemeClr w14:val="tx1"/>
            </w14:solidFill>
          </w14:textFill>
        </w:rPr>
      </w:pPr>
      <w:r>
        <w:rPr>
          <w:color w:val="000000" w:themeColor="text1"/>
          <w:sz w:val="28"/>
          <w:szCs w:val="28"/>
          <w:lang w:val="zh-CN"/>
          <w14:textFill>
            <w14:solidFill>
              <w14:schemeClr w14:val="tx1"/>
            </w14:solidFill>
          </w14:textFill>
        </w:rPr>
        <w:t>4.针对本</w:t>
      </w:r>
      <w:r>
        <w:rPr>
          <w:rFonts w:hint="eastAsia"/>
          <w:color w:val="000000" w:themeColor="text1"/>
          <w:sz w:val="28"/>
          <w:szCs w:val="28"/>
          <w:lang w:val="zh-CN"/>
          <w14:textFill>
            <w14:solidFill>
              <w14:schemeClr w14:val="tx1"/>
            </w14:solidFill>
          </w14:textFill>
        </w:rPr>
        <w:t>协议</w:t>
      </w:r>
      <w:r>
        <w:rPr>
          <w:color w:val="000000" w:themeColor="text1"/>
          <w:sz w:val="28"/>
          <w:szCs w:val="28"/>
          <w:lang w:val="zh-CN"/>
          <w14:textFill>
            <w14:solidFill>
              <w14:schemeClr w14:val="tx1"/>
            </w14:solidFill>
          </w14:textFill>
        </w:rPr>
        <w:t>未约定但需增加约定的内容，可在第十四条“其他约定”中补充完善</w:t>
      </w:r>
      <w:r>
        <w:rPr>
          <w:color w:val="000000" w:themeColor="text1"/>
          <w:sz w:val="28"/>
          <w:szCs w:val="28"/>
          <w14:textFill>
            <w14:solidFill>
              <w14:schemeClr w14:val="tx1"/>
            </w14:solidFill>
          </w14:textFill>
        </w:rPr>
        <w:t>。</w:t>
      </w:r>
    </w:p>
    <w:p>
      <w:pPr>
        <w:snapToGrid w:val="0"/>
        <w:spacing w:line="370" w:lineRule="exact"/>
        <w:ind w:firstLine="560"/>
        <w:rPr>
          <w:color w:val="000000" w:themeColor="text1"/>
          <w:sz w:val="28"/>
          <w:szCs w:val="28"/>
          <w:lang w:val="zh-CN"/>
          <w14:textFill>
            <w14:solidFill>
              <w14:schemeClr w14:val="tx1"/>
            </w14:solidFill>
          </w14:textFill>
        </w:rPr>
      </w:pPr>
      <w:r>
        <w:rPr>
          <w:color w:val="000000" w:themeColor="text1"/>
          <w:sz w:val="28"/>
          <w:szCs w:val="28"/>
          <w14:textFill>
            <w14:solidFill>
              <w14:schemeClr w14:val="tx1"/>
            </w14:solidFill>
          </w14:textFill>
        </w:rPr>
        <w:t>5.</w:t>
      </w:r>
      <w:r>
        <w:rPr>
          <w:rFonts w:hint="eastAsia"/>
          <w:color w:val="000000" w:themeColor="text1"/>
          <w:sz w:val="28"/>
          <w:szCs w:val="28"/>
          <w14:textFill>
            <w14:solidFill>
              <w14:schemeClr w14:val="tx1"/>
            </w14:solidFill>
          </w14:textFill>
        </w:rPr>
        <w:t>协议</w:t>
      </w:r>
      <w:r>
        <w:rPr>
          <w:color w:val="000000" w:themeColor="text1"/>
          <w:sz w:val="28"/>
          <w:szCs w:val="28"/>
          <w14:textFill>
            <w14:solidFill>
              <w14:schemeClr w14:val="tx1"/>
            </w14:solidFill>
          </w14:textFill>
        </w:rPr>
        <w:t>中所依据的法律法规、规章制度发生变化或增减的，签订时应进行更新或增减。</w:t>
      </w:r>
    </w:p>
    <w:p>
      <w:pPr>
        <w:snapToGrid w:val="0"/>
        <w:spacing w:line="370" w:lineRule="exact"/>
        <w:ind w:firstLine="560"/>
        <w:rPr>
          <w:color w:val="000000" w:themeColor="text1"/>
          <w:sz w:val="28"/>
          <w:szCs w:val="28"/>
          <w:lang w:val="zh-CN"/>
          <w14:textFill>
            <w14:solidFill>
              <w14:schemeClr w14:val="tx1"/>
            </w14:solidFill>
          </w14:textFill>
        </w:rPr>
      </w:pPr>
    </w:p>
    <w:p>
      <w:pPr>
        <w:adjustRightInd w:val="0"/>
        <w:snapToGrid w:val="0"/>
        <w:spacing w:line="370" w:lineRule="exact"/>
        <w:ind w:firstLine="560"/>
        <w:rPr>
          <w:color w:val="000000" w:themeColor="text1"/>
          <w:sz w:val="28"/>
          <w:szCs w:val="28"/>
          <w14:textFill>
            <w14:solidFill>
              <w14:schemeClr w14:val="tx1"/>
            </w14:solidFill>
          </w14:textFill>
        </w:rPr>
      </w:pPr>
    </w:p>
    <w:p>
      <w:pPr>
        <w:adjustRightInd w:val="0"/>
        <w:snapToGrid w:val="0"/>
        <w:spacing w:line="370" w:lineRule="exact"/>
        <w:ind w:firstLine="560"/>
        <w:rPr>
          <w:color w:val="000000" w:themeColor="text1"/>
          <w:sz w:val="28"/>
          <w:szCs w:val="28"/>
          <w14:textFill>
            <w14:solidFill>
              <w14:schemeClr w14:val="tx1"/>
            </w14:solidFill>
          </w14:textFill>
        </w:rPr>
      </w:pPr>
    </w:p>
    <w:p>
      <w:pPr>
        <w:adjustRightInd w:val="0"/>
        <w:snapToGrid w:val="0"/>
        <w:spacing w:line="370" w:lineRule="exact"/>
        <w:ind w:firstLine="560"/>
        <w:rPr>
          <w:color w:val="000000" w:themeColor="text1"/>
          <w:sz w:val="28"/>
          <w:szCs w:val="28"/>
          <w14:textFill>
            <w14:solidFill>
              <w14:schemeClr w14:val="tx1"/>
            </w14:solidFill>
          </w14:textFill>
        </w:rPr>
      </w:pPr>
    </w:p>
    <w:p>
      <w:pPr>
        <w:adjustRightInd w:val="0"/>
        <w:snapToGrid w:val="0"/>
        <w:spacing w:line="370" w:lineRule="exact"/>
        <w:ind w:firstLine="560"/>
        <w:rPr>
          <w:color w:val="000000" w:themeColor="text1"/>
          <w:sz w:val="28"/>
          <w:szCs w:val="28"/>
          <w14:textFill>
            <w14:solidFill>
              <w14:schemeClr w14:val="tx1"/>
            </w14:solidFill>
          </w14:textFill>
        </w:rPr>
      </w:pPr>
    </w:p>
    <w:p>
      <w:pPr>
        <w:adjustRightInd w:val="0"/>
        <w:snapToGrid w:val="0"/>
        <w:spacing w:line="370" w:lineRule="exact"/>
        <w:ind w:firstLine="560"/>
        <w:rPr>
          <w:color w:val="000000" w:themeColor="text1"/>
          <w:sz w:val="28"/>
          <w:szCs w:val="28"/>
          <w14:textFill>
            <w14:solidFill>
              <w14:schemeClr w14:val="tx1"/>
            </w14:solidFill>
          </w14:textFill>
        </w:rPr>
      </w:pPr>
    </w:p>
    <w:p>
      <w:pPr>
        <w:adjustRightInd w:val="0"/>
        <w:snapToGrid w:val="0"/>
        <w:spacing w:line="370" w:lineRule="exact"/>
        <w:ind w:firstLine="560"/>
        <w:rPr>
          <w:color w:val="000000" w:themeColor="text1"/>
          <w:sz w:val="28"/>
          <w:szCs w:val="28"/>
          <w14:textFill>
            <w14:solidFill>
              <w14:schemeClr w14:val="tx1"/>
            </w14:solidFill>
          </w14:textFill>
        </w:rPr>
      </w:pPr>
    </w:p>
    <w:p>
      <w:pPr>
        <w:adjustRightInd w:val="0"/>
        <w:snapToGrid w:val="0"/>
        <w:spacing w:line="370" w:lineRule="exact"/>
        <w:ind w:firstLine="560"/>
        <w:rPr>
          <w:color w:val="000000" w:themeColor="text1"/>
          <w:sz w:val="28"/>
          <w:szCs w:val="28"/>
          <w14:textFill>
            <w14:solidFill>
              <w14:schemeClr w14:val="tx1"/>
            </w14:solidFill>
          </w14:textFill>
        </w:rPr>
      </w:pPr>
    </w:p>
    <w:p>
      <w:pPr>
        <w:adjustRightInd w:val="0"/>
        <w:snapToGrid w:val="0"/>
        <w:spacing w:line="370" w:lineRule="exact"/>
        <w:ind w:firstLine="560"/>
        <w:rPr>
          <w:color w:val="000000" w:themeColor="text1"/>
          <w:sz w:val="28"/>
          <w:szCs w:val="28"/>
          <w14:textFill>
            <w14:solidFill>
              <w14:schemeClr w14:val="tx1"/>
            </w14:solidFill>
          </w14:textFill>
        </w:rPr>
      </w:pPr>
    </w:p>
    <w:p>
      <w:pPr>
        <w:adjustRightInd w:val="0"/>
        <w:snapToGrid w:val="0"/>
        <w:spacing w:line="370" w:lineRule="exact"/>
        <w:ind w:firstLine="560"/>
        <w:rPr>
          <w:color w:val="000000" w:themeColor="text1"/>
          <w:sz w:val="28"/>
          <w:szCs w:val="28"/>
          <w14:textFill>
            <w14:solidFill>
              <w14:schemeClr w14:val="tx1"/>
            </w14:solidFill>
          </w14:textFill>
        </w:rPr>
      </w:pPr>
    </w:p>
    <w:p>
      <w:pPr>
        <w:adjustRightInd w:val="0"/>
        <w:snapToGrid w:val="0"/>
        <w:spacing w:line="370" w:lineRule="exact"/>
        <w:ind w:firstLine="560"/>
        <w:rPr>
          <w:color w:val="000000" w:themeColor="text1"/>
          <w:sz w:val="28"/>
          <w:szCs w:val="28"/>
          <w14:textFill>
            <w14:solidFill>
              <w14:schemeClr w14:val="tx1"/>
            </w14:solidFill>
          </w14:textFill>
        </w:rPr>
      </w:pPr>
    </w:p>
    <w:p>
      <w:pPr>
        <w:adjustRightInd w:val="0"/>
        <w:snapToGrid w:val="0"/>
        <w:spacing w:line="370" w:lineRule="exact"/>
        <w:ind w:firstLine="560"/>
        <w:rPr>
          <w:color w:val="000000" w:themeColor="text1"/>
          <w:sz w:val="28"/>
          <w:szCs w:val="28"/>
          <w14:textFill>
            <w14:solidFill>
              <w14:schemeClr w14:val="tx1"/>
            </w14:solidFill>
          </w14:textFill>
        </w:rPr>
      </w:pPr>
    </w:p>
    <w:p>
      <w:pPr>
        <w:adjustRightInd w:val="0"/>
        <w:snapToGrid w:val="0"/>
        <w:spacing w:line="370" w:lineRule="exact"/>
        <w:ind w:firstLine="560"/>
        <w:rPr>
          <w:color w:val="000000" w:themeColor="text1"/>
          <w:sz w:val="28"/>
          <w:szCs w:val="28"/>
          <w14:textFill>
            <w14:solidFill>
              <w14:schemeClr w14:val="tx1"/>
            </w14:solidFill>
          </w14:textFill>
        </w:rPr>
      </w:pPr>
    </w:p>
    <w:p>
      <w:pPr>
        <w:adjustRightInd w:val="0"/>
        <w:snapToGrid w:val="0"/>
        <w:spacing w:line="370" w:lineRule="exact"/>
        <w:ind w:firstLine="560"/>
        <w:rPr>
          <w:color w:val="000000" w:themeColor="text1"/>
          <w:sz w:val="28"/>
          <w:szCs w:val="28"/>
          <w14:textFill>
            <w14:solidFill>
              <w14:schemeClr w14:val="tx1"/>
            </w14:solidFill>
          </w14:textFill>
        </w:rPr>
      </w:pPr>
    </w:p>
    <w:p>
      <w:pPr>
        <w:adjustRightInd w:val="0"/>
        <w:snapToGrid w:val="0"/>
        <w:spacing w:line="370" w:lineRule="exact"/>
        <w:ind w:firstLine="560"/>
        <w:rPr>
          <w:color w:val="000000" w:themeColor="text1"/>
          <w:sz w:val="28"/>
          <w:szCs w:val="28"/>
          <w14:textFill>
            <w14:solidFill>
              <w14:schemeClr w14:val="tx1"/>
            </w14:solidFill>
          </w14:textFill>
        </w:rPr>
      </w:pPr>
    </w:p>
    <w:p>
      <w:pPr>
        <w:spacing w:line="370" w:lineRule="exact"/>
        <w:ind w:firstLine="56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br w:type="page"/>
      </w:r>
      <w:r>
        <w:rPr>
          <w:rFonts w:hint="eastAsia"/>
          <w:color w:val="000000" w:themeColor="text1"/>
          <w:sz w:val="28"/>
          <w:szCs w:val="28"/>
          <w14:textFill>
            <w14:solidFill>
              <w14:schemeClr w14:val="tx1"/>
            </w14:solidFill>
          </w14:textFill>
        </w:rPr>
        <w:t>根据《中华人民共和国民法典》及</w:t>
      </w:r>
      <w:r>
        <w:rPr>
          <w:rFonts w:hint="eastAsia" w:hAnsi="仿宋"/>
          <w:color w:val="000000" w:themeColor="text1"/>
          <w:sz w:val="28"/>
          <w:szCs w:val="28"/>
          <w14:textFill>
            <w14:solidFill>
              <w14:schemeClr w14:val="tx1"/>
            </w14:solidFill>
          </w14:textFill>
        </w:rPr>
        <w:t>中国国家铁路集团有限公司（以下简称国铁集团）</w:t>
      </w:r>
      <w:r>
        <w:rPr>
          <w:rFonts w:hint="eastAsia"/>
          <w:color w:val="000000" w:themeColor="text1"/>
          <w:sz w:val="28"/>
          <w:szCs w:val="28"/>
          <w14:textFill>
            <w14:solidFill>
              <w14:schemeClr w14:val="tx1"/>
            </w14:solidFill>
          </w14:textFill>
        </w:rPr>
        <w:t>的相关规定，为加强铁路专用线货物运输安全管理，确保货物运输安全，</w:t>
      </w:r>
      <w:r>
        <w:rPr>
          <w:color w:val="000000" w:themeColor="text1"/>
          <w:sz w:val="28"/>
          <w:szCs w:val="28"/>
          <w14:textFill>
            <w14:solidFill>
              <w14:schemeClr w14:val="tx1"/>
            </w14:solidFill>
          </w14:textFill>
        </w:rPr>
        <w:t>甲、乙</w:t>
      </w:r>
      <w:r>
        <w:rPr>
          <w:rFonts w:hint="eastAsia"/>
          <w:color w:val="000000" w:themeColor="text1"/>
          <w:sz w:val="28"/>
          <w:szCs w:val="28"/>
          <w14:textFill>
            <w14:solidFill>
              <w14:schemeClr w14:val="tx1"/>
            </w14:solidFill>
          </w14:textFill>
        </w:rPr>
        <w:t>、丙三</w:t>
      </w:r>
      <w:r>
        <w:rPr>
          <w:color w:val="000000" w:themeColor="text1"/>
          <w:sz w:val="28"/>
          <w:szCs w:val="28"/>
          <w14:textFill>
            <w14:solidFill>
              <w14:schemeClr w14:val="tx1"/>
            </w14:solidFill>
          </w14:textFill>
        </w:rPr>
        <w:t>方</w:t>
      </w:r>
      <w:r>
        <w:rPr>
          <w:rFonts w:hint="eastAsia"/>
          <w:color w:val="000000" w:themeColor="text1"/>
          <w:sz w:val="28"/>
          <w:szCs w:val="28"/>
          <w14:textFill>
            <w14:solidFill>
              <w14:schemeClr w14:val="tx1"/>
            </w14:solidFill>
          </w14:textFill>
        </w:rPr>
        <w:t>就专用线共用事宜，</w:t>
      </w:r>
      <w:r>
        <w:rPr>
          <w:color w:val="000000" w:themeColor="text1"/>
          <w:sz w:val="28"/>
          <w:szCs w:val="28"/>
          <w14:textFill>
            <w14:solidFill>
              <w14:schemeClr w14:val="tx1"/>
            </w14:solidFill>
          </w14:textFill>
        </w:rPr>
        <w:t>本着自愿、公平和诚信的原则，经协商</w:t>
      </w:r>
      <w:r>
        <w:rPr>
          <w:rFonts w:hint="eastAsia"/>
          <w:color w:val="000000" w:themeColor="text1"/>
          <w:sz w:val="28"/>
          <w:szCs w:val="28"/>
          <w14:textFill>
            <w14:solidFill>
              <w14:schemeClr w14:val="tx1"/>
            </w14:solidFill>
          </w14:textFill>
        </w:rPr>
        <w:t>一致</w:t>
      </w:r>
      <w:r>
        <w:rPr>
          <w:color w:val="000000" w:themeColor="text1"/>
          <w:sz w:val="28"/>
          <w:szCs w:val="28"/>
          <w14:textFill>
            <w14:solidFill>
              <w14:schemeClr w14:val="tx1"/>
            </w14:solidFill>
          </w14:textFill>
        </w:rPr>
        <w:t>，订立本协议。</w:t>
      </w:r>
    </w:p>
    <w:p>
      <w:pPr>
        <w:spacing w:line="370" w:lineRule="exact"/>
        <w:ind w:firstLine="560"/>
        <w:rPr>
          <w:rFonts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第一条 专用线共用范围</w:t>
      </w:r>
    </w:p>
    <w:p>
      <w:pPr>
        <w:spacing w:line="370" w:lineRule="exact"/>
        <w:ind w:left="921" w:leftChars="267" w:hanging="280" w:hangingChars="100"/>
        <w:rPr>
          <w:rFonts w:hAnsi="仿宋"/>
          <w:color w:val="000000" w:themeColor="text1"/>
          <w:sz w:val="28"/>
          <w:szCs w:val="28"/>
          <w14:textFill>
            <w14:solidFill>
              <w14:schemeClr w14:val="tx1"/>
            </w14:solidFill>
          </w14:textFill>
        </w:rPr>
      </w:pPr>
      <w:r>
        <w:rPr>
          <w:rFonts w:hint="eastAsia" w:hAnsi="仿宋"/>
          <w:color w:val="000000" w:themeColor="text1"/>
          <w:sz w:val="28"/>
          <w:szCs w:val="28"/>
          <w14:textFill>
            <w14:solidFill>
              <w14:schemeClr w14:val="tx1"/>
            </w14:solidFill>
          </w14:textFill>
        </w:rPr>
        <w:t>乙方与甲方</w:t>
      </w:r>
      <w:r>
        <w:rPr>
          <w:rFonts w:hint="eastAsia" w:hAnsi="仿宋"/>
          <w:color w:val="000000" w:themeColor="text1"/>
          <w:sz w:val="28"/>
          <w:szCs w:val="28"/>
          <w:u w:val="single"/>
          <w14:textFill>
            <w14:solidFill>
              <w14:schemeClr w14:val="tx1"/>
            </w14:solidFill>
          </w14:textFill>
        </w:rPr>
        <w:t xml:space="preserve">        </w:t>
      </w:r>
      <w:r>
        <w:rPr>
          <w:rFonts w:hint="eastAsia" w:hAnsi="仿宋"/>
          <w:color w:val="000000" w:themeColor="text1"/>
          <w:sz w:val="28"/>
          <w:szCs w:val="28"/>
          <w14:textFill>
            <w14:solidFill>
              <w14:schemeClr w14:val="tx1"/>
            </w14:solidFill>
          </w14:textFill>
        </w:rPr>
        <w:t>站（车站名称）接轨的</w:t>
      </w:r>
      <w:r>
        <w:rPr>
          <w:rFonts w:hint="eastAsia" w:hAnsi="仿宋"/>
          <w:color w:val="000000" w:themeColor="text1"/>
          <w:sz w:val="28"/>
          <w:szCs w:val="28"/>
          <w:u w:val="single"/>
          <w14:textFill>
            <w14:solidFill>
              <w14:schemeClr w14:val="tx1"/>
            </w14:solidFill>
          </w14:textFill>
        </w:rPr>
        <w:t xml:space="preserve">                  </w:t>
      </w:r>
      <w:r>
        <w:rPr>
          <w:rFonts w:hint="eastAsia" w:hAnsi="仿宋"/>
          <w:color w:val="000000" w:themeColor="text1"/>
          <w:sz w:val="28"/>
          <w:szCs w:val="28"/>
          <w14:textFill>
            <w14:solidFill>
              <w14:schemeClr w14:val="tx1"/>
            </w14:solidFill>
          </w14:textFill>
        </w:rPr>
        <w:t>（专用线名称）。</w:t>
      </w:r>
    </w:p>
    <w:p>
      <w:pPr>
        <w:spacing w:line="370" w:lineRule="exact"/>
        <w:ind w:firstLine="548" w:firstLineChars="196"/>
        <w:rPr>
          <w:rFonts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第二条 专用线共用内容</w:t>
      </w:r>
    </w:p>
    <w:p>
      <w:pPr>
        <w:spacing w:line="370" w:lineRule="exact"/>
        <w:ind w:firstLine="56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（一）丙方使用乙方专用线装卸车，甲方组织运输，按《铁路专用线专用铁路管理办法》办理。</w:t>
      </w:r>
    </w:p>
    <w:p>
      <w:pPr>
        <w:spacing w:line="370" w:lineRule="exact"/>
        <w:ind w:firstLine="56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（二）甲乙双方同意丙方使用乙方专用线装卸车的货物品名及运量如下表：</w:t>
      </w: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5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4260" w:type="dxa"/>
            <w:gridSpan w:val="2"/>
            <w:vAlign w:val="center"/>
          </w:tcPr>
          <w:p>
            <w:pPr>
              <w:spacing w:line="370" w:lineRule="exact"/>
              <w:ind w:firstLine="56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发送</w:t>
            </w:r>
          </w:p>
        </w:tc>
        <w:tc>
          <w:tcPr>
            <w:tcW w:w="4637" w:type="dxa"/>
            <w:gridSpan w:val="2"/>
            <w:vAlign w:val="center"/>
          </w:tcPr>
          <w:p>
            <w:pPr>
              <w:spacing w:line="370" w:lineRule="exact"/>
              <w:ind w:firstLine="56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到达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spacing w:line="370" w:lineRule="exact"/>
              <w:ind w:firstLine="56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货物品名</w:t>
            </w:r>
          </w:p>
        </w:tc>
        <w:tc>
          <w:tcPr>
            <w:tcW w:w="2130" w:type="dxa"/>
            <w:vAlign w:val="center"/>
          </w:tcPr>
          <w:p>
            <w:pPr>
              <w:spacing w:line="370" w:lineRule="exact"/>
              <w:ind w:firstLine="56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运量（吨）</w:t>
            </w:r>
          </w:p>
        </w:tc>
        <w:tc>
          <w:tcPr>
            <w:tcW w:w="2131" w:type="dxa"/>
            <w:vAlign w:val="center"/>
          </w:tcPr>
          <w:p>
            <w:pPr>
              <w:spacing w:line="370" w:lineRule="exact"/>
              <w:ind w:firstLine="56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货物品名</w:t>
            </w:r>
          </w:p>
        </w:tc>
        <w:tc>
          <w:tcPr>
            <w:tcW w:w="2506" w:type="dxa"/>
            <w:vAlign w:val="center"/>
          </w:tcPr>
          <w:p>
            <w:pPr>
              <w:spacing w:line="370" w:lineRule="exact"/>
              <w:ind w:firstLine="56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运量（吨）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70" w:lineRule="exact"/>
              <w:ind w:firstLine="560"/>
              <w:rPr>
                <w:color w:val="000000" w:themeColor="text1"/>
                <w:sz w:val="28"/>
                <w:szCs w:val="28"/>
                <w14:textFill>
                  <w14:solidFill>
                    <w14:schemeClr w14:val="tx1"/>
                  </w14:solidFill>
                </w14:textFill>
              </w:rPr>
            </w:pPr>
          </w:p>
        </w:tc>
        <w:tc>
          <w:tcPr>
            <w:tcW w:w="2130" w:type="dxa"/>
          </w:tcPr>
          <w:p>
            <w:pPr>
              <w:spacing w:line="370" w:lineRule="exact"/>
              <w:ind w:firstLine="560"/>
              <w:rPr>
                <w:color w:val="000000" w:themeColor="text1"/>
                <w:sz w:val="28"/>
                <w:szCs w:val="28"/>
                <w14:textFill>
                  <w14:solidFill>
                    <w14:schemeClr w14:val="tx1"/>
                  </w14:solidFill>
                </w14:textFill>
              </w:rPr>
            </w:pPr>
          </w:p>
        </w:tc>
        <w:tc>
          <w:tcPr>
            <w:tcW w:w="2131" w:type="dxa"/>
          </w:tcPr>
          <w:p>
            <w:pPr>
              <w:spacing w:line="370" w:lineRule="exact"/>
              <w:ind w:firstLine="560"/>
              <w:rPr>
                <w:color w:val="000000" w:themeColor="text1"/>
                <w:sz w:val="28"/>
                <w:szCs w:val="28"/>
                <w14:textFill>
                  <w14:solidFill>
                    <w14:schemeClr w14:val="tx1"/>
                  </w14:solidFill>
                </w14:textFill>
              </w:rPr>
            </w:pPr>
          </w:p>
        </w:tc>
        <w:tc>
          <w:tcPr>
            <w:tcW w:w="2506" w:type="dxa"/>
          </w:tcPr>
          <w:p>
            <w:pPr>
              <w:spacing w:line="370" w:lineRule="exact"/>
              <w:ind w:firstLine="560"/>
              <w:rPr>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70" w:lineRule="exact"/>
              <w:ind w:firstLine="560"/>
              <w:rPr>
                <w:color w:val="000000" w:themeColor="text1"/>
                <w:sz w:val="28"/>
                <w:szCs w:val="28"/>
                <w14:textFill>
                  <w14:solidFill>
                    <w14:schemeClr w14:val="tx1"/>
                  </w14:solidFill>
                </w14:textFill>
              </w:rPr>
            </w:pPr>
          </w:p>
        </w:tc>
        <w:tc>
          <w:tcPr>
            <w:tcW w:w="2130" w:type="dxa"/>
          </w:tcPr>
          <w:p>
            <w:pPr>
              <w:spacing w:line="370" w:lineRule="exact"/>
              <w:ind w:firstLine="560"/>
              <w:rPr>
                <w:color w:val="000000" w:themeColor="text1"/>
                <w:sz w:val="28"/>
                <w:szCs w:val="28"/>
                <w14:textFill>
                  <w14:solidFill>
                    <w14:schemeClr w14:val="tx1"/>
                  </w14:solidFill>
                </w14:textFill>
              </w:rPr>
            </w:pPr>
          </w:p>
        </w:tc>
        <w:tc>
          <w:tcPr>
            <w:tcW w:w="2131" w:type="dxa"/>
          </w:tcPr>
          <w:p>
            <w:pPr>
              <w:spacing w:line="370" w:lineRule="exact"/>
              <w:ind w:firstLine="560"/>
              <w:rPr>
                <w:color w:val="000000" w:themeColor="text1"/>
                <w:sz w:val="28"/>
                <w:szCs w:val="28"/>
                <w14:textFill>
                  <w14:solidFill>
                    <w14:schemeClr w14:val="tx1"/>
                  </w14:solidFill>
                </w14:textFill>
              </w:rPr>
            </w:pPr>
          </w:p>
        </w:tc>
        <w:tc>
          <w:tcPr>
            <w:tcW w:w="2506" w:type="dxa"/>
          </w:tcPr>
          <w:p>
            <w:pPr>
              <w:spacing w:line="370" w:lineRule="exact"/>
              <w:ind w:firstLine="560"/>
              <w:rPr>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70" w:lineRule="exact"/>
              <w:ind w:firstLine="560"/>
              <w:rPr>
                <w:color w:val="000000" w:themeColor="text1"/>
                <w:sz w:val="28"/>
                <w:szCs w:val="28"/>
                <w14:textFill>
                  <w14:solidFill>
                    <w14:schemeClr w14:val="tx1"/>
                  </w14:solidFill>
                </w14:textFill>
              </w:rPr>
            </w:pPr>
          </w:p>
        </w:tc>
        <w:tc>
          <w:tcPr>
            <w:tcW w:w="2130" w:type="dxa"/>
          </w:tcPr>
          <w:p>
            <w:pPr>
              <w:spacing w:line="370" w:lineRule="exact"/>
              <w:ind w:firstLine="560"/>
              <w:rPr>
                <w:color w:val="000000" w:themeColor="text1"/>
                <w:sz w:val="28"/>
                <w:szCs w:val="28"/>
                <w14:textFill>
                  <w14:solidFill>
                    <w14:schemeClr w14:val="tx1"/>
                  </w14:solidFill>
                </w14:textFill>
              </w:rPr>
            </w:pPr>
          </w:p>
        </w:tc>
        <w:tc>
          <w:tcPr>
            <w:tcW w:w="2131" w:type="dxa"/>
          </w:tcPr>
          <w:p>
            <w:pPr>
              <w:spacing w:line="370" w:lineRule="exact"/>
              <w:ind w:firstLine="560"/>
              <w:rPr>
                <w:color w:val="000000" w:themeColor="text1"/>
                <w:sz w:val="28"/>
                <w:szCs w:val="28"/>
                <w14:textFill>
                  <w14:solidFill>
                    <w14:schemeClr w14:val="tx1"/>
                  </w14:solidFill>
                </w14:textFill>
              </w:rPr>
            </w:pPr>
          </w:p>
        </w:tc>
        <w:tc>
          <w:tcPr>
            <w:tcW w:w="2506" w:type="dxa"/>
          </w:tcPr>
          <w:p>
            <w:pPr>
              <w:spacing w:line="370" w:lineRule="exact"/>
              <w:ind w:firstLine="560"/>
              <w:rPr>
                <w:color w:val="000000" w:themeColor="text1"/>
                <w:sz w:val="28"/>
                <w:szCs w:val="28"/>
                <w14:textFill>
                  <w14:solidFill>
                    <w14:schemeClr w14:val="tx1"/>
                  </w14:solidFill>
                </w14:textFill>
              </w:rPr>
            </w:pPr>
          </w:p>
        </w:tc>
      </w:tr>
    </w:tbl>
    <w:p>
      <w:pPr>
        <w:spacing w:line="370" w:lineRule="exact"/>
        <w:ind w:firstLine="548" w:firstLineChars="196"/>
        <w:rPr>
          <w:rFonts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第三条 专用线使用费</w:t>
      </w:r>
    </w:p>
    <w:p>
      <w:pPr>
        <w:spacing w:line="370" w:lineRule="exact"/>
        <w:ind w:firstLine="56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专用线使用费乙方和丙方按当地省、（市）政府的有关规定和物价部门批准的项目、标准办理，具体费用按照该标准另行商定。</w:t>
      </w:r>
    </w:p>
    <w:p>
      <w:pPr>
        <w:spacing w:line="370" w:lineRule="exact"/>
        <w:ind w:firstLine="548" w:firstLineChars="196"/>
        <w:rPr>
          <w:rFonts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第四条 甲方权利义务</w:t>
      </w:r>
    </w:p>
    <w:p>
      <w:pPr>
        <w:pStyle w:val="11"/>
        <w:tabs>
          <w:tab w:val="left" w:pos="0"/>
        </w:tabs>
        <w:spacing w:line="370" w:lineRule="exact"/>
        <w:ind w:firstLineChars="0"/>
        <w:rPr>
          <w:rFonts w:hAnsi="仿宋"/>
          <w:color w:val="000000" w:themeColor="text1"/>
          <w:sz w:val="28"/>
          <w:szCs w:val="28"/>
          <w14:textFill>
            <w14:solidFill>
              <w14:schemeClr w14:val="tx1"/>
            </w14:solidFill>
          </w14:textFill>
        </w:rPr>
      </w:pPr>
      <w:r>
        <w:rPr>
          <w:rFonts w:hint="eastAsia" w:hAnsi="仿宋"/>
          <w:color w:val="000000" w:themeColor="text1"/>
          <w:sz w:val="28"/>
          <w:szCs w:val="28"/>
          <w14:textFill>
            <w14:solidFill>
              <w14:schemeClr w14:val="tx1"/>
            </w14:solidFill>
          </w14:textFill>
        </w:rPr>
        <w:t>（一）甲方凭《货车调送通知单》和货车现状与乙方办理共用到发货物、车辆及货车用具的交接。</w:t>
      </w:r>
    </w:p>
    <w:p>
      <w:pPr>
        <w:spacing w:line="370" w:lineRule="exact"/>
        <w:ind w:firstLine="560"/>
        <w:rPr>
          <w:rFonts w:hAnsi="仿宋"/>
          <w:color w:val="000000" w:themeColor="text1"/>
          <w:sz w:val="28"/>
          <w:szCs w:val="28"/>
          <w14:textFill>
            <w14:solidFill>
              <w14:schemeClr w14:val="tx1"/>
            </w14:solidFill>
          </w14:textFill>
        </w:rPr>
      </w:pPr>
      <w:r>
        <w:rPr>
          <w:rFonts w:hint="eastAsia" w:hAnsi="仿宋"/>
          <w:color w:val="000000" w:themeColor="text1"/>
          <w:sz w:val="28"/>
          <w:szCs w:val="28"/>
          <w14:textFill>
            <w14:solidFill>
              <w14:schemeClr w14:val="tx1"/>
            </w14:solidFill>
          </w14:textFill>
        </w:rPr>
        <w:t>（二）甲方应严格执行运输计划，保证按日计划调配车辆。对无共用协议企业的车辆不得送车。</w:t>
      </w:r>
    </w:p>
    <w:p>
      <w:pPr>
        <w:pStyle w:val="11"/>
        <w:spacing w:line="370" w:lineRule="exact"/>
        <w:ind w:firstLineChars="0"/>
        <w:rPr>
          <w:rFonts w:hAnsi="仿宋"/>
          <w:color w:val="000000" w:themeColor="text1"/>
          <w:sz w:val="28"/>
          <w:szCs w:val="28"/>
          <w14:textFill>
            <w14:solidFill>
              <w14:schemeClr w14:val="tx1"/>
            </w14:solidFill>
          </w14:textFill>
        </w:rPr>
      </w:pPr>
      <w:r>
        <w:rPr>
          <w:rFonts w:hint="eastAsia" w:hAnsi="仿宋"/>
          <w:color w:val="000000" w:themeColor="text1"/>
          <w:sz w:val="28"/>
          <w:szCs w:val="28"/>
          <w14:textFill>
            <w14:solidFill>
              <w14:schemeClr w14:val="tx1"/>
            </w14:solidFill>
          </w14:textFill>
        </w:rPr>
        <w:t>（三）甲方有责任对乙、丙方做好货物运输的业务指导。</w:t>
      </w:r>
    </w:p>
    <w:p>
      <w:pPr>
        <w:spacing w:line="370" w:lineRule="exact"/>
        <w:ind w:firstLine="548" w:firstLineChars="196"/>
        <w:rPr>
          <w:rFonts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第五条 乙方权利义务</w:t>
      </w:r>
    </w:p>
    <w:p>
      <w:pPr>
        <w:pStyle w:val="11"/>
        <w:tabs>
          <w:tab w:val="left" w:pos="0"/>
        </w:tabs>
        <w:spacing w:line="370" w:lineRule="exact"/>
        <w:ind w:firstLineChars="0"/>
        <w:rPr>
          <w:rFonts w:hAnsi="仿宋"/>
          <w:color w:val="000000" w:themeColor="text1"/>
          <w:sz w:val="28"/>
          <w:szCs w:val="28"/>
          <w14:textFill>
            <w14:solidFill>
              <w14:schemeClr w14:val="tx1"/>
            </w14:solidFill>
          </w14:textFill>
        </w:rPr>
      </w:pPr>
      <w:r>
        <w:rPr>
          <w:rFonts w:hint="eastAsia" w:hAnsi="仿宋"/>
          <w:color w:val="000000" w:themeColor="text1"/>
          <w:sz w:val="28"/>
          <w:szCs w:val="28"/>
          <w14:textFill>
            <w14:solidFill>
              <w14:schemeClr w14:val="tx1"/>
            </w14:solidFill>
          </w14:textFill>
        </w:rPr>
        <w:t>（一）乙方凭货物运单和货物现状与丙方办理货物交接。因乙方责任发生货损货差时，由乙方负责赔偿。</w:t>
      </w:r>
    </w:p>
    <w:p>
      <w:pPr>
        <w:pStyle w:val="11"/>
        <w:spacing w:line="370" w:lineRule="exact"/>
        <w:ind w:firstLineChars="0"/>
        <w:rPr>
          <w:rFonts w:hAnsi="仿宋"/>
          <w:color w:val="000000" w:themeColor="text1"/>
          <w:sz w:val="28"/>
          <w:szCs w:val="28"/>
          <w14:textFill>
            <w14:solidFill>
              <w14:schemeClr w14:val="tx1"/>
            </w14:solidFill>
          </w14:textFill>
        </w:rPr>
      </w:pPr>
      <w:r>
        <w:rPr>
          <w:rFonts w:hint="eastAsia" w:hAnsi="仿宋"/>
          <w:color w:val="000000" w:themeColor="text1"/>
          <w:sz w:val="28"/>
          <w:szCs w:val="28"/>
          <w14:textFill>
            <w14:solidFill>
              <w14:schemeClr w14:val="tx1"/>
            </w14:solidFill>
          </w14:textFill>
        </w:rPr>
        <w:t>（二）未经甲方同意，乙方不得接卸或发送签订共用协议以外单位的货物。</w:t>
      </w:r>
    </w:p>
    <w:p>
      <w:pPr>
        <w:pStyle w:val="11"/>
        <w:spacing w:line="370" w:lineRule="exact"/>
        <w:ind w:firstLineChars="0"/>
        <w:rPr>
          <w:rFonts w:hAnsi="仿宋"/>
          <w:color w:val="000000" w:themeColor="text1"/>
          <w:sz w:val="28"/>
          <w:szCs w:val="28"/>
          <w14:textFill>
            <w14:solidFill>
              <w14:schemeClr w14:val="tx1"/>
            </w14:solidFill>
          </w14:textFill>
        </w:rPr>
      </w:pPr>
      <w:r>
        <w:rPr>
          <w:rFonts w:hint="eastAsia" w:hAnsi="仿宋"/>
          <w:color w:val="000000" w:themeColor="text1"/>
          <w:sz w:val="28"/>
          <w:szCs w:val="28"/>
          <w14:textFill>
            <w14:solidFill>
              <w14:schemeClr w14:val="tx1"/>
            </w14:solidFill>
          </w14:textFill>
        </w:rPr>
        <w:t>（三）对卸下的货物乙方应妥善保管，及时通知丙方领取。</w:t>
      </w:r>
    </w:p>
    <w:p>
      <w:pPr>
        <w:spacing w:line="370" w:lineRule="exact"/>
        <w:ind w:firstLine="548" w:firstLineChars="196"/>
        <w:rPr>
          <w:rFonts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第六条 丙方权利义务</w:t>
      </w:r>
    </w:p>
    <w:p>
      <w:pPr>
        <w:pStyle w:val="11"/>
        <w:spacing w:line="370" w:lineRule="exact"/>
        <w:ind w:firstLineChars="0"/>
        <w:rPr>
          <w:rFonts w:hAnsi="仿宋"/>
          <w:color w:val="000000" w:themeColor="text1"/>
          <w:sz w:val="28"/>
          <w:szCs w:val="28"/>
          <w14:textFill>
            <w14:solidFill>
              <w14:schemeClr w14:val="tx1"/>
            </w14:solidFill>
          </w14:textFill>
        </w:rPr>
      </w:pPr>
      <w:r>
        <w:rPr>
          <w:rFonts w:hint="eastAsia" w:hAnsi="仿宋"/>
          <w:color w:val="000000" w:themeColor="text1"/>
          <w:sz w:val="28"/>
          <w:szCs w:val="28"/>
          <w14:textFill>
            <w14:solidFill>
              <w14:schemeClr w14:val="tx1"/>
            </w14:solidFill>
          </w14:textFill>
        </w:rPr>
        <w:t>（一）丙方全权委托乙方按其与铁路车站签订的专用线运输协议办理丙方发送及到达（以下简称发到）货物的有关事宜（委托书除交甲方车站一份外，另在本协议后附一份），丙方承认并遵守甲乙双方签订的专用线运输协议。</w:t>
      </w:r>
    </w:p>
    <w:p>
      <w:pPr>
        <w:spacing w:line="370" w:lineRule="exact"/>
        <w:ind w:firstLine="560"/>
        <w:rPr>
          <w:rFonts w:hAnsi="仿宋"/>
          <w:color w:val="000000" w:themeColor="text1"/>
          <w:sz w:val="28"/>
          <w:szCs w:val="28"/>
          <w14:textFill>
            <w14:solidFill>
              <w14:schemeClr w14:val="tx1"/>
            </w14:solidFill>
          </w14:textFill>
        </w:rPr>
      </w:pPr>
      <w:r>
        <w:rPr>
          <w:rFonts w:hint="eastAsia" w:hAnsi="仿宋"/>
          <w:color w:val="000000" w:themeColor="text1"/>
          <w:sz w:val="28"/>
          <w:szCs w:val="28"/>
          <w14:textFill>
            <w14:solidFill>
              <w14:schemeClr w14:val="tx1"/>
            </w14:solidFill>
          </w14:textFill>
        </w:rPr>
        <w:t>（二）丙方在乙方专用线取送货物时应听从乙方人员的指挥、管理，遵守乙方的有关规定；丙方在共用专用线办理发到的货物品名不得超出乙方专用线在《铁路专用线专用铁路名称表》中公布的品名范围。丙方发送货物时，应按乙方指定的货位备货，办理交接手续；不得以本单位的名义发到其他单位的货物。</w:t>
      </w:r>
    </w:p>
    <w:p>
      <w:pPr>
        <w:spacing w:line="370" w:lineRule="exact"/>
        <w:ind w:firstLine="560"/>
        <w:rPr>
          <w:rFonts w:hAnsi="仿宋"/>
          <w:color w:val="000000" w:themeColor="text1"/>
          <w:sz w:val="28"/>
          <w:szCs w:val="28"/>
          <w14:textFill>
            <w14:solidFill>
              <w14:schemeClr w14:val="tx1"/>
            </w14:solidFill>
          </w14:textFill>
        </w:rPr>
      </w:pPr>
      <w:r>
        <w:rPr>
          <w:rFonts w:hint="eastAsia" w:hAnsi="仿宋"/>
          <w:color w:val="000000" w:themeColor="text1"/>
          <w:sz w:val="28"/>
          <w:szCs w:val="28"/>
          <w14:textFill>
            <w14:solidFill>
              <w14:schemeClr w14:val="tx1"/>
            </w14:solidFill>
          </w14:textFill>
        </w:rPr>
        <w:t>（三）丙方应均衡组织货物发到，因丙方责任造成货车积压，甲方有权调整装卸车作业地点。丙方接到乙方货到通知应及时将货搬出，不得因无订货协议或其它原因拒领货物，对到达货物经催领，丙方超过催领通知规定时间而不领取时，乙方出具证明，由甲方按规定处理，由此产生的相关费用和后果由丙方承担。</w:t>
      </w:r>
    </w:p>
    <w:p>
      <w:pPr>
        <w:spacing w:line="370" w:lineRule="exact"/>
        <w:ind w:firstLine="560"/>
        <w:rPr>
          <w:rFonts w:hAnsi="仿宋"/>
          <w:color w:val="000000" w:themeColor="text1"/>
          <w:sz w:val="28"/>
          <w:szCs w:val="28"/>
          <w14:textFill>
            <w14:solidFill>
              <w14:schemeClr w14:val="tx1"/>
            </w14:solidFill>
          </w14:textFill>
        </w:rPr>
      </w:pPr>
      <w:r>
        <w:rPr>
          <w:rFonts w:hint="eastAsia" w:hAnsi="仿宋"/>
          <w:color w:val="000000" w:themeColor="text1"/>
          <w:sz w:val="28"/>
          <w:szCs w:val="28"/>
          <w14:textFill>
            <w14:solidFill>
              <w14:schemeClr w14:val="tx1"/>
            </w14:solidFill>
          </w14:textFill>
        </w:rPr>
        <w:t>（四）丙方应及时向乙方交纳各项费用，乙方不得违反规定或约定乱收费。如有需向甲方交纳的费用，丙方应于</w:t>
      </w:r>
      <w:r>
        <w:rPr>
          <w:rFonts w:hint="eastAsia" w:hAnsi="仿宋"/>
          <w:color w:val="000000" w:themeColor="text1"/>
          <w:sz w:val="28"/>
          <w:szCs w:val="28"/>
          <w:u w:val="single"/>
          <w14:textFill>
            <w14:solidFill>
              <w14:schemeClr w14:val="tx1"/>
            </w14:solidFill>
          </w14:textFill>
        </w:rPr>
        <w:t xml:space="preserve">    </w:t>
      </w:r>
      <w:r>
        <w:rPr>
          <w:rFonts w:hint="eastAsia" w:hAnsi="仿宋"/>
          <w:color w:val="000000" w:themeColor="text1"/>
          <w:sz w:val="28"/>
          <w:szCs w:val="28"/>
          <w14:textFill>
            <w14:solidFill>
              <w14:schemeClr w14:val="tx1"/>
            </w14:solidFill>
          </w14:textFill>
        </w:rPr>
        <w:t>日内向甲方支付。</w:t>
      </w:r>
    </w:p>
    <w:p>
      <w:pPr>
        <w:spacing w:line="370" w:lineRule="exact"/>
        <w:ind w:firstLine="560"/>
        <w:rPr>
          <w:rFonts w:hAnsi="仿宋"/>
          <w:color w:val="000000" w:themeColor="text1"/>
          <w:sz w:val="28"/>
          <w:szCs w:val="28"/>
          <w14:textFill>
            <w14:solidFill>
              <w14:schemeClr w14:val="tx1"/>
            </w14:solidFill>
          </w14:textFill>
        </w:rPr>
      </w:pPr>
      <w:r>
        <w:rPr>
          <w:rFonts w:hint="eastAsia" w:hAnsi="仿宋"/>
          <w:color w:val="000000" w:themeColor="text1"/>
          <w:sz w:val="28"/>
          <w:szCs w:val="28"/>
          <w14:textFill>
            <w14:solidFill>
              <w14:schemeClr w14:val="tx1"/>
            </w14:solidFill>
          </w14:textFill>
        </w:rPr>
        <w:t>（五）丙方在协议履行中应以书面形式提出有关合理工作建议，乙方应及时回复处理。</w:t>
      </w:r>
    </w:p>
    <w:p>
      <w:pPr>
        <w:spacing w:line="370" w:lineRule="exact"/>
        <w:ind w:firstLine="560"/>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第七条 履行期限</w:t>
      </w:r>
    </w:p>
    <w:p>
      <w:pPr>
        <w:spacing w:line="370" w:lineRule="exact"/>
        <w:ind w:firstLine="56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自</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年</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月</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日至</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年</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月</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日止。协议期满前一个月，三方协商续签协议事宜。</w:t>
      </w:r>
    </w:p>
    <w:p>
      <w:pPr>
        <w:spacing w:line="370" w:lineRule="exact"/>
        <w:ind w:firstLine="548" w:firstLineChars="196"/>
        <w:rPr>
          <w:rFonts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第八条 违约责任</w:t>
      </w:r>
    </w:p>
    <w:p>
      <w:pPr>
        <w:spacing w:line="370" w:lineRule="exact"/>
        <w:ind w:firstLine="560"/>
        <w:rPr>
          <w:rFonts w:hAnsi="仿宋"/>
          <w:color w:val="000000" w:themeColor="text1"/>
          <w:sz w:val="28"/>
          <w:szCs w:val="28"/>
          <w14:textFill>
            <w14:solidFill>
              <w14:schemeClr w14:val="tx1"/>
            </w14:solidFill>
          </w14:textFill>
        </w:rPr>
      </w:pPr>
      <w:r>
        <w:rPr>
          <w:rFonts w:hint="eastAsia" w:hAnsi="仿宋"/>
          <w:color w:val="000000" w:themeColor="text1"/>
          <w:sz w:val="28"/>
          <w:szCs w:val="28"/>
          <w14:textFill>
            <w14:solidFill>
              <w14:schemeClr w14:val="tx1"/>
            </w14:solidFill>
          </w14:textFill>
        </w:rPr>
        <w:t>（一）三方应全面履行本协议约定的各项义务并信守承诺。造成违约的，违约方应依法赔偿因违约给对方造成的实际损失。</w:t>
      </w:r>
    </w:p>
    <w:p>
      <w:pPr>
        <w:spacing w:line="370" w:lineRule="exact"/>
        <w:ind w:firstLine="560"/>
        <w:rPr>
          <w:rFonts w:hAnsi="仿宋"/>
          <w:color w:val="000000" w:themeColor="text1"/>
          <w:sz w:val="28"/>
          <w:szCs w:val="28"/>
          <w14:textFill>
            <w14:solidFill>
              <w14:schemeClr w14:val="tx1"/>
            </w14:solidFill>
          </w14:textFill>
        </w:rPr>
      </w:pPr>
      <w:r>
        <w:rPr>
          <w:rFonts w:hint="eastAsia" w:hAnsi="仿宋"/>
          <w:color w:val="000000" w:themeColor="text1"/>
          <w:sz w:val="28"/>
          <w:szCs w:val="28"/>
          <w14:textFill>
            <w14:solidFill>
              <w14:schemeClr w14:val="tx1"/>
            </w14:solidFill>
          </w14:textFill>
        </w:rPr>
        <w:t>（二）丙方履行义务不符合协议约定或铁路行业规定，对甲乙方设备、设施造成实际损失的，应承担相应赔偿责任。</w:t>
      </w:r>
    </w:p>
    <w:p>
      <w:pPr>
        <w:spacing w:line="370" w:lineRule="exact"/>
        <w:ind w:firstLine="560"/>
        <w:rPr>
          <w:rFonts w:hAnsi="仿宋"/>
          <w:color w:val="000000" w:themeColor="text1"/>
          <w:sz w:val="28"/>
          <w:szCs w:val="28"/>
          <w14:textFill>
            <w14:solidFill>
              <w14:schemeClr w14:val="tx1"/>
            </w14:solidFill>
          </w14:textFill>
        </w:rPr>
      </w:pPr>
      <w:r>
        <w:rPr>
          <w:rFonts w:hint="eastAsia" w:hAnsi="仿宋"/>
          <w:color w:val="000000" w:themeColor="text1"/>
          <w:sz w:val="28"/>
          <w:szCs w:val="28"/>
          <w14:textFill>
            <w14:solidFill>
              <w14:schemeClr w14:val="tx1"/>
            </w14:solidFill>
          </w14:textFill>
        </w:rPr>
        <w:t>（三）守约方因维权产生的合理费用，如律师费等由违约方承担。</w:t>
      </w:r>
    </w:p>
    <w:p>
      <w:pPr>
        <w:adjustRightInd w:val="0"/>
        <w:spacing w:line="370" w:lineRule="exact"/>
        <w:ind w:firstLine="548" w:firstLineChars="196"/>
        <w:contextualSpacing/>
        <w:rPr>
          <w:rFonts w:eastAsia="黑体"/>
          <w:color w:val="000000" w:themeColor="text1"/>
          <w:sz w:val="28"/>
          <w:szCs w:val="28"/>
          <w14:textFill>
            <w14:solidFill>
              <w14:schemeClr w14:val="tx1"/>
            </w14:solidFill>
          </w14:textFill>
        </w:rPr>
      </w:pPr>
      <w:r>
        <w:rPr>
          <w:rFonts w:eastAsia="黑体"/>
          <w:color w:val="000000" w:themeColor="text1"/>
          <w:sz w:val="28"/>
          <w:szCs w:val="28"/>
          <w14:textFill>
            <w14:solidFill>
              <w14:schemeClr w14:val="tx1"/>
            </w14:solidFill>
          </w14:textFill>
        </w:rPr>
        <w:t>第</w:t>
      </w:r>
      <w:r>
        <w:rPr>
          <w:rFonts w:hint="eastAsia" w:eastAsia="黑体"/>
          <w:color w:val="000000" w:themeColor="text1"/>
          <w:sz w:val="28"/>
          <w:szCs w:val="28"/>
          <w14:textFill>
            <w14:solidFill>
              <w14:schemeClr w14:val="tx1"/>
            </w14:solidFill>
          </w14:textFill>
        </w:rPr>
        <w:t>九</w:t>
      </w:r>
      <w:r>
        <w:rPr>
          <w:rFonts w:eastAsia="黑体"/>
          <w:color w:val="000000" w:themeColor="text1"/>
          <w:sz w:val="28"/>
          <w:szCs w:val="28"/>
          <w14:textFill>
            <w14:solidFill>
              <w14:schemeClr w14:val="tx1"/>
            </w14:solidFill>
          </w14:textFill>
        </w:rPr>
        <w:t>条</w:t>
      </w:r>
      <w:r>
        <w:rPr>
          <w:rFonts w:hint="eastAsia" w:eastAsia="黑体"/>
          <w:color w:val="000000" w:themeColor="text1"/>
          <w:sz w:val="28"/>
          <w:szCs w:val="28"/>
          <w14:textFill>
            <w14:solidFill>
              <w14:schemeClr w14:val="tx1"/>
            </w14:solidFill>
          </w14:textFill>
        </w:rPr>
        <w:t xml:space="preserve"> </w:t>
      </w:r>
      <w:r>
        <w:rPr>
          <w:rFonts w:eastAsia="黑体"/>
          <w:color w:val="000000" w:themeColor="text1"/>
          <w:sz w:val="28"/>
          <w:szCs w:val="28"/>
          <w14:textFill>
            <w14:solidFill>
              <w14:schemeClr w14:val="tx1"/>
            </w14:solidFill>
          </w14:textFill>
        </w:rPr>
        <w:t>保密条款</w:t>
      </w:r>
    </w:p>
    <w:p>
      <w:pPr>
        <w:adjustRightInd w:val="0"/>
        <w:spacing w:line="370" w:lineRule="exact"/>
        <w:ind w:firstLine="548" w:firstLineChars="196"/>
        <w:contextualSpacing/>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（一）甲乙</w:t>
      </w:r>
      <w:r>
        <w:rPr>
          <w:rFonts w:hint="eastAsia"/>
          <w:color w:val="000000" w:themeColor="text1"/>
          <w:sz w:val="28"/>
          <w:szCs w:val="28"/>
          <w14:textFill>
            <w14:solidFill>
              <w14:schemeClr w14:val="tx1"/>
            </w14:solidFill>
          </w14:textFill>
        </w:rPr>
        <w:t>丙三</w:t>
      </w:r>
      <w:r>
        <w:rPr>
          <w:color w:val="000000" w:themeColor="text1"/>
          <w:sz w:val="28"/>
          <w:szCs w:val="28"/>
          <w14:textFill>
            <w14:solidFill>
              <w14:schemeClr w14:val="tx1"/>
            </w14:solidFill>
          </w14:textFill>
        </w:rPr>
        <w:t>方同意，任何一方为履行本协议而提供给</w:t>
      </w:r>
      <w:r>
        <w:rPr>
          <w:rFonts w:hint="eastAsia"/>
          <w:color w:val="000000" w:themeColor="text1"/>
          <w:sz w:val="28"/>
          <w:szCs w:val="28"/>
          <w14:textFill>
            <w14:solidFill>
              <w14:schemeClr w14:val="tx1"/>
            </w14:solidFill>
          </w14:textFill>
        </w:rPr>
        <w:t>其他</w:t>
      </w:r>
      <w:r>
        <w:rPr>
          <w:color w:val="000000" w:themeColor="text1"/>
          <w:sz w:val="28"/>
          <w:szCs w:val="28"/>
          <w14:textFill>
            <w14:solidFill>
              <w14:schemeClr w14:val="tx1"/>
            </w14:solidFill>
          </w14:textFill>
        </w:rPr>
        <w:t>方的任何商业信息或技术信息，以及一方在履约过程所知悉的</w:t>
      </w:r>
      <w:r>
        <w:rPr>
          <w:rFonts w:hint="eastAsia"/>
          <w:color w:val="000000" w:themeColor="text1"/>
          <w:sz w:val="28"/>
          <w:szCs w:val="28"/>
          <w14:textFill>
            <w14:solidFill>
              <w14:schemeClr w14:val="tx1"/>
            </w14:solidFill>
          </w14:textFill>
        </w:rPr>
        <w:t>其他</w:t>
      </w:r>
      <w:r>
        <w:rPr>
          <w:color w:val="000000" w:themeColor="text1"/>
          <w:sz w:val="28"/>
          <w:szCs w:val="28"/>
          <w14:textFill>
            <w14:solidFill>
              <w14:schemeClr w14:val="tx1"/>
            </w14:solidFill>
          </w14:textFill>
        </w:rPr>
        <w:t>方的商业秘密、缔约条件、谈判内容等，包括本协议的内容，除非提供方书面明确说明为公知信息的以外，均可能构成其</w:t>
      </w:r>
      <w:r>
        <w:rPr>
          <w:rFonts w:hint="eastAsia"/>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保密信息</w:t>
      </w:r>
      <w:r>
        <w:rPr>
          <w:rFonts w:hint="eastAsia"/>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。信息获取一方保证应采取合理的保密措施保护该等保密信息免受公开，不向任何第三方公开该等保密信息，并且除为履行本协议目的外非经</w:t>
      </w:r>
      <w:r>
        <w:rPr>
          <w:rFonts w:hint="eastAsia"/>
          <w:color w:val="000000" w:themeColor="text1"/>
          <w:sz w:val="28"/>
          <w:szCs w:val="28"/>
          <w14:textFill>
            <w14:solidFill>
              <w14:schemeClr w14:val="tx1"/>
            </w14:solidFill>
          </w14:textFill>
        </w:rPr>
        <w:t>其他</w:t>
      </w:r>
      <w:r>
        <w:rPr>
          <w:color w:val="000000" w:themeColor="text1"/>
          <w:sz w:val="28"/>
          <w:szCs w:val="28"/>
          <w14:textFill>
            <w14:solidFill>
              <w14:schemeClr w14:val="tx1"/>
            </w14:solidFill>
          </w14:textFill>
        </w:rPr>
        <w:t>方事先书面同意不得使用任何保密信息。前述保密措施应合理并不得低于知悉一方对自己的保密信息所采取的保护效果。因一方泄露或者不正当使用该等保密信息而给</w:t>
      </w:r>
      <w:r>
        <w:rPr>
          <w:rFonts w:hint="eastAsia"/>
          <w:color w:val="000000" w:themeColor="text1"/>
          <w:sz w:val="28"/>
          <w:szCs w:val="28"/>
          <w14:textFill>
            <w14:solidFill>
              <w14:schemeClr w14:val="tx1"/>
            </w14:solidFill>
          </w14:textFill>
        </w:rPr>
        <w:t>其他</w:t>
      </w:r>
      <w:r>
        <w:rPr>
          <w:color w:val="000000" w:themeColor="text1"/>
          <w:sz w:val="28"/>
          <w:szCs w:val="28"/>
          <w14:textFill>
            <w14:solidFill>
              <w14:schemeClr w14:val="tx1"/>
            </w14:solidFill>
          </w14:textFill>
        </w:rPr>
        <w:t>方造成损失的，应当赔偿</w:t>
      </w:r>
      <w:r>
        <w:rPr>
          <w:rFonts w:hint="eastAsia"/>
          <w:color w:val="000000" w:themeColor="text1"/>
          <w:sz w:val="28"/>
          <w:szCs w:val="28"/>
          <w14:textFill>
            <w14:solidFill>
              <w14:schemeClr w14:val="tx1"/>
            </w14:solidFill>
          </w14:textFill>
        </w:rPr>
        <w:t>其他</w:t>
      </w:r>
      <w:r>
        <w:rPr>
          <w:color w:val="000000" w:themeColor="text1"/>
          <w:sz w:val="28"/>
          <w:szCs w:val="28"/>
          <w14:textFill>
            <w14:solidFill>
              <w14:schemeClr w14:val="tx1"/>
            </w14:solidFill>
          </w14:textFill>
        </w:rPr>
        <w:t>方的所有损失。</w:t>
      </w:r>
    </w:p>
    <w:p>
      <w:pPr>
        <w:adjustRightInd w:val="0"/>
        <w:spacing w:line="370" w:lineRule="exact"/>
        <w:ind w:firstLine="548" w:firstLineChars="196"/>
        <w:contextualSpacing/>
        <w:rPr>
          <w:bCs/>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（二）</w:t>
      </w:r>
      <w:r>
        <w:rPr>
          <w:bCs/>
          <w:color w:val="000000" w:themeColor="text1"/>
          <w:sz w:val="28"/>
          <w:szCs w:val="28"/>
          <w14:textFill>
            <w14:solidFill>
              <w14:schemeClr w14:val="tx1"/>
            </w14:solidFill>
          </w14:textFill>
        </w:rPr>
        <w:t>未经</w:t>
      </w:r>
      <w:r>
        <w:rPr>
          <w:rFonts w:hint="eastAsia"/>
          <w:bCs/>
          <w:color w:val="000000" w:themeColor="text1"/>
          <w:sz w:val="28"/>
          <w:szCs w:val="28"/>
          <w14:textFill>
            <w14:solidFill>
              <w14:schemeClr w14:val="tx1"/>
            </w14:solidFill>
          </w14:textFill>
        </w:rPr>
        <w:t>其他</w:t>
      </w:r>
      <w:r>
        <w:rPr>
          <w:bCs/>
          <w:color w:val="000000" w:themeColor="text1"/>
          <w:sz w:val="28"/>
          <w:szCs w:val="28"/>
          <w14:textFill>
            <w14:solidFill>
              <w14:schemeClr w14:val="tx1"/>
            </w14:solidFill>
          </w14:textFill>
        </w:rPr>
        <w:t>方同意，任何一方不得对</w:t>
      </w:r>
      <w:r>
        <w:rPr>
          <w:rFonts w:hint="eastAsia"/>
          <w:bCs/>
          <w:color w:val="000000" w:themeColor="text1"/>
          <w:sz w:val="28"/>
          <w:szCs w:val="28"/>
          <w14:textFill>
            <w14:solidFill>
              <w14:schemeClr w14:val="tx1"/>
            </w14:solidFill>
          </w14:textFill>
        </w:rPr>
        <w:t>其他</w:t>
      </w:r>
      <w:r>
        <w:rPr>
          <w:bCs/>
          <w:color w:val="000000" w:themeColor="text1"/>
          <w:sz w:val="28"/>
          <w:szCs w:val="28"/>
          <w14:textFill>
            <w14:solidFill>
              <w14:schemeClr w14:val="tx1"/>
            </w14:solidFill>
          </w14:textFill>
        </w:rPr>
        <w:t>方的保密信息进行复制或以其他方式保存。并且在</w:t>
      </w:r>
      <w:r>
        <w:rPr>
          <w:rFonts w:hint="eastAsia"/>
          <w:bCs/>
          <w:color w:val="000000" w:themeColor="text1"/>
          <w:sz w:val="28"/>
          <w:szCs w:val="28"/>
          <w14:textFill>
            <w14:solidFill>
              <w14:schemeClr w14:val="tx1"/>
            </w14:solidFill>
          </w14:textFill>
        </w:rPr>
        <w:t>其他</w:t>
      </w:r>
      <w:r>
        <w:rPr>
          <w:bCs/>
          <w:color w:val="000000" w:themeColor="text1"/>
          <w:sz w:val="28"/>
          <w:szCs w:val="28"/>
          <w14:textFill>
            <w14:solidFill>
              <w14:schemeClr w14:val="tx1"/>
            </w14:solidFill>
          </w14:textFill>
        </w:rPr>
        <w:t>方要求或在</w:t>
      </w:r>
      <w:r>
        <w:rPr>
          <w:rFonts w:hint="eastAsia"/>
          <w:bCs/>
          <w:color w:val="000000" w:themeColor="text1"/>
          <w:sz w:val="28"/>
          <w:szCs w:val="28"/>
          <w14:textFill>
            <w14:solidFill>
              <w14:schemeClr w14:val="tx1"/>
            </w14:solidFill>
          </w14:textFill>
        </w:rPr>
        <w:t>三</w:t>
      </w:r>
      <w:r>
        <w:rPr>
          <w:bCs/>
          <w:color w:val="000000" w:themeColor="text1"/>
          <w:sz w:val="28"/>
          <w:szCs w:val="28"/>
          <w14:textFill>
            <w14:solidFill>
              <w14:schemeClr w14:val="tx1"/>
            </w14:solidFill>
          </w14:textFill>
        </w:rPr>
        <w:t>方的业务关系终止时，应立即向</w:t>
      </w:r>
      <w:r>
        <w:rPr>
          <w:rFonts w:hint="eastAsia"/>
          <w:bCs/>
          <w:color w:val="000000" w:themeColor="text1"/>
          <w:sz w:val="28"/>
          <w:szCs w:val="28"/>
          <w14:textFill>
            <w14:solidFill>
              <w14:schemeClr w14:val="tx1"/>
            </w14:solidFill>
          </w14:textFill>
        </w:rPr>
        <w:t>其他</w:t>
      </w:r>
      <w:r>
        <w:rPr>
          <w:bCs/>
          <w:color w:val="000000" w:themeColor="text1"/>
          <w:sz w:val="28"/>
          <w:szCs w:val="28"/>
          <w14:textFill>
            <w14:solidFill>
              <w14:schemeClr w14:val="tx1"/>
            </w14:solidFill>
          </w14:textFill>
        </w:rPr>
        <w:t>方归还所有保密信息及其副本、以及所有包含该保密信息或其部分的所有文件、资料和其他物品。</w:t>
      </w:r>
    </w:p>
    <w:p>
      <w:pPr>
        <w:adjustRightInd w:val="0"/>
        <w:spacing w:line="370" w:lineRule="exact"/>
        <w:ind w:firstLine="548" w:firstLineChars="196"/>
        <w:contextualSpacing/>
        <w:rPr>
          <w:bCs/>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（三）</w:t>
      </w:r>
      <w:r>
        <w:rPr>
          <w:bCs/>
          <w:color w:val="000000" w:themeColor="text1"/>
          <w:sz w:val="28"/>
          <w:szCs w:val="28"/>
          <w14:textFill>
            <w14:solidFill>
              <w14:schemeClr w14:val="tx1"/>
            </w14:solidFill>
          </w14:textFill>
        </w:rPr>
        <w:t>任何一方对于保密信息的义务应延续至该等信息因合法的原因而成为公开信息。</w:t>
      </w:r>
    </w:p>
    <w:p>
      <w:pPr>
        <w:adjustRightInd w:val="0"/>
        <w:spacing w:line="370" w:lineRule="exact"/>
        <w:ind w:firstLine="548" w:firstLineChars="196"/>
        <w:contextualSpacing/>
        <w:rPr>
          <w:bCs/>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（四）</w:t>
      </w:r>
      <w:r>
        <w:rPr>
          <w:bCs/>
          <w:color w:val="000000" w:themeColor="text1"/>
          <w:sz w:val="28"/>
          <w:szCs w:val="28"/>
          <w14:textFill>
            <w14:solidFill>
              <w14:schemeClr w14:val="tx1"/>
            </w14:solidFill>
          </w14:textFill>
        </w:rPr>
        <w:t>上述保密规定不应当适用于以下信息：收到信息的一方有书面记录可以证明其在披露方向其披露该等信息之前已经知晓该信息；收到信息的一方没有违反本协议的保密义务即从其他渠道获得的公开信息；或者收到信息的一方从对该等信息不负有保密义务的第三方获得的信息。</w:t>
      </w:r>
    </w:p>
    <w:p>
      <w:pPr>
        <w:adjustRightInd w:val="0"/>
        <w:spacing w:line="370" w:lineRule="exact"/>
        <w:ind w:firstLine="548" w:firstLineChars="196"/>
        <w:contextualSpacing/>
        <w:rPr>
          <w:bCs/>
          <w:color w:val="000000" w:themeColor="text1"/>
          <w:sz w:val="28"/>
          <w:szCs w:val="28"/>
          <w14:textFill>
            <w14:solidFill>
              <w14:schemeClr w14:val="tx1"/>
            </w14:solidFill>
          </w14:textFill>
        </w:rPr>
      </w:pPr>
      <w:r>
        <w:rPr>
          <w:rFonts w:eastAsia="黑体"/>
          <w:color w:val="000000" w:themeColor="text1"/>
          <w:sz w:val="28"/>
          <w:szCs w:val="28"/>
          <w14:textFill>
            <w14:solidFill>
              <w14:schemeClr w14:val="tx1"/>
            </w14:solidFill>
          </w14:textFill>
        </w:rPr>
        <w:t>第</w:t>
      </w:r>
      <w:r>
        <w:rPr>
          <w:rFonts w:hint="eastAsia" w:eastAsia="黑体"/>
          <w:color w:val="000000" w:themeColor="text1"/>
          <w:sz w:val="28"/>
          <w:szCs w:val="28"/>
          <w14:textFill>
            <w14:solidFill>
              <w14:schemeClr w14:val="tx1"/>
            </w14:solidFill>
          </w14:textFill>
        </w:rPr>
        <w:t>十</w:t>
      </w:r>
      <w:r>
        <w:rPr>
          <w:rFonts w:eastAsia="黑体"/>
          <w:color w:val="000000" w:themeColor="text1"/>
          <w:sz w:val="28"/>
          <w:szCs w:val="28"/>
          <w14:textFill>
            <w14:solidFill>
              <w14:schemeClr w14:val="tx1"/>
            </w14:solidFill>
          </w14:textFill>
        </w:rPr>
        <w:t>条</w:t>
      </w:r>
      <w:r>
        <w:rPr>
          <w:rFonts w:hint="eastAsia" w:eastAsia="黑体"/>
          <w:color w:val="000000" w:themeColor="text1"/>
          <w:sz w:val="28"/>
          <w:szCs w:val="28"/>
          <w14:textFill>
            <w14:solidFill>
              <w14:schemeClr w14:val="tx1"/>
            </w14:solidFill>
          </w14:textFill>
        </w:rPr>
        <w:t xml:space="preserve"> </w:t>
      </w:r>
      <w:r>
        <w:rPr>
          <w:rFonts w:eastAsia="黑体"/>
          <w:color w:val="000000" w:themeColor="text1"/>
          <w:sz w:val="28"/>
          <w:szCs w:val="28"/>
          <w14:textFill>
            <w14:solidFill>
              <w14:schemeClr w14:val="tx1"/>
            </w14:solidFill>
          </w14:textFill>
        </w:rPr>
        <w:t>不可抗力</w:t>
      </w:r>
    </w:p>
    <w:p>
      <w:pPr>
        <w:spacing w:line="370" w:lineRule="exact"/>
        <w:ind w:firstLine="560"/>
        <w:contextualSpacing/>
        <w:rPr>
          <w:color w:val="000000" w:themeColor="text1"/>
          <w:sz w:val="28"/>
          <w:szCs w:val="28"/>
          <w:lang w:val="en-GB"/>
          <w14:textFill>
            <w14:solidFill>
              <w14:schemeClr w14:val="tx1"/>
            </w14:solidFill>
          </w14:textFill>
        </w:rPr>
      </w:pPr>
      <w:r>
        <w:rPr>
          <w:color w:val="000000" w:themeColor="text1"/>
          <w:sz w:val="28"/>
          <w:szCs w:val="28"/>
          <w:lang w:val="en-GB"/>
          <w14:textFill>
            <w14:solidFill>
              <w14:schemeClr w14:val="tx1"/>
            </w14:solidFill>
          </w14:textFill>
        </w:rPr>
        <w:t>（一)在协议履行结束之前任何时候，如果发生任何协议签订时</w:t>
      </w:r>
      <w:r>
        <w:rPr>
          <w:rFonts w:hint="eastAsia"/>
          <w:color w:val="000000" w:themeColor="text1"/>
          <w:sz w:val="28"/>
          <w:szCs w:val="28"/>
          <w:lang w:val="en-GB"/>
          <w14:textFill>
            <w14:solidFill>
              <w14:schemeClr w14:val="tx1"/>
            </w14:solidFill>
          </w14:textFill>
        </w:rPr>
        <w:t>三</w:t>
      </w:r>
      <w:r>
        <w:rPr>
          <w:color w:val="000000" w:themeColor="text1"/>
          <w:sz w:val="28"/>
          <w:szCs w:val="28"/>
          <w:lang w:val="en-GB"/>
          <w14:textFill>
            <w14:solidFill>
              <w14:schemeClr w14:val="tx1"/>
            </w14:solidFill>
          </w14:textFill>
        </w:rPr>
        <w:t>方不可预见、不可避免并且不能克服的客观情况，包括地震、水灾、重大传染性疾病以及战争等不可抗力情形，</w:t>
      </w:r>
      <w:r>
        <w:rPr>
          <w:rFonts w:hint="eastAsia"/>
          <w:color w:val="000000" w:themeColor="text1"/>
          <w:sz w:val="28"/>
          <w:szCs w:val="28"/>
          <w:lang w:val="en-GB"/>
          <w14:textFill>
            <w14:solidFill>
              <w14:schemeClr w14:val="tx1"/>
            </w14:solidFill>
          </w14:textFill>
        </w:rPr>
        <w:t>三</w:t>
      </w:r>
      <w:r>
        <w:rPr>
          <w:color w:val="000000" w:themeColor="text1"/>
          <w:sz w:val="28"/>
          <w:szCs w:val="28"/>
          <w:lang w:val="en-GB"/>
          <w14:textFill>
            <w14:solidFill>
              <w14:schemeClr w14:val="tx1"/>
            </w14:solidFill>
          </w14:textFill>
        </w:rPr>
        <w:t>方协商一致后可决定暂缓履行或终止履行本协议。</w:t>
      </w:r>
    </w:p>
    <w:p>
      <w:pPr>
        <w:spacing w:line="370" w:lineRule="exact"/>
        <w:ind w:firstLine="560"/>
        <w:contextualSpacing/>
        <w:rPr>
          <w:color w:val="000000" w:themeColor="text1"/>
          <w:sz w:val="28"/>
          <w:szCs w:val="28"/>
          <w:lang w:val="en-GB"/>
          <w14:textFill>
            <w14:solidFill>
              <w14:schemeClr w14:val="tx1"/>
            </w14:solidFill>
          </w14:textFill>
        </w:rPr>
      </w:pPr>
      <w:r>
        <w:rPr>
          <w:color w:val="000000" w:themeColor="text1"/>
          <w:sz w:val="28"/>
          <w:szCs w:val="28"/>
          <w14:textFill>
            <w14:solidFill>
              <w14:schemeClr w14:val="tx1"/>
            </w14:solidFill>
          </w14:textFill>
        </w:rPr>
        <w:t>（二）</w:t>
      </w:r>
      <w:r>
        <w:rPr>
          <w:color w:val="000000" w:themeColor="text1"/>
          <w:sz w:val="28"/>
          <w:szCs w:val="28"/>
          <w:lang w:val="en-GB"/>
          <w14:textFill>
            <w14:solidFill>
              <w14:schemeClr w14:val="tx1"/>
            </w14:solidFill>
          </w14:textFill>
        </w:rPr>
        <w:t>如果上述不可抗力事件的发生影响一方履行其在本协议项下的义务，则在不可抗力造成的延误期内中止履行不视为违约。</w:t>
      </w:r>
    </w:p>
    <w:p>
      <w:pPr>
        <w:spacing w:line="370" w:lineRule="exact"/>
        <w:ind w:firstLine="560"/>
        <w:contextualSpacing/>
        <w:rPr>
          <w:color w:val="000000" w:themeColor="text1"/>
          <w:sz w:val="28"/>
          <w:szCs w:val="28"/>
          <w:lang w:val="en-GB"/>
          <w14:textFill>
            <w14:solidFill>
              <w14:schemeClr w14:val="tx1"/>
            </w14:solidFill>
          </w14:textFill>
        </w:rPr>
      </w:pPr>
      <w:r>
        <w:rPr>
          <w:color w:val="000000" w:themeColor="text1"/>
          <w:sz w:val="28"/>
          <w:szCs w:val="28"/>
          <w14:textFill>
            <w14:solidFill>
              <w14:schemeClr w14:val="tx1"/>
            </w14:solidFill>
          </w14:textFill>
        </w:rPr>
        <w:t>（三）</w:t>
      </w:r>
      <w:r>
        <w:rPr>
          <w:color w:val="000000" w:themeColor="text1"/>
          <w:sz w:val="28"/>
          <w:szCs w:val="28"/>
          <w:lang w:val="en-GB"/>
          <w14:textFill>
            <w14:solidFill>
              <w14:schemeClr w14:val="tx1"/>
            </w14:solidFill>
          </w14:textFill>
        </w:rPr>
        <w:t>本协议任何一方因不可抗力不能履行或不能完全履行本协议义务时，应当在不可抗力发生之日起</w:t>
      </w:r>
      <w:r>
        <w:rPr>
          <w:color w:val="000000" w:themeColor="text1"/>
          <w:sz w:val="28"/>
          <w:szCs w:val="28"/>
          <w14:textFill>
            <w14:solidFill>
              <w14:schemeClr w14:val="tx1"/>
            </w14:solidFill>
          </w14:textFill>
        </w:rPr>
        <w:t>15</w:t>
      </w:r>
      <w:r>
        <w:rPr>
          <w:color w:val="000000" w:themeColor="text1"/>
          <w:sz w:val="28"/>
          <w:szCs w:val="28"/>
          <w:lang w:val="en-GB"/>
          <w14:textFill>
            <w14:solidFill>
              <w14:schemeClr w14:val="tx1"/>
            </w14:solidFill>
          </w14:textFill>
        </w:rPr>
        <w:t>日内通知</w:t>
      </w:r>
      <w:r>
        <w:rPr>
          <w:rFonts w:hint="eastAsia"/>
          <w:color w:val="000000" w:themeColor="text1"/>
          <w:sz w:val="28"/>
          <w:szCs w:val="28"/>
          <w:lang w:val="en-GB"/>
          <w14:textFill>
            <w14:solidFill>
              <w14:schemeClr w14:val="tx1"/>
            </w14:solidFill>
          </w14:textFill>
        </w:rPr>
        <w:t>其他</w:t>
      </w:r>
      <w:r>
        <w:rPr>
          <w:color w:val="000000" w:themeColor="text1"/>
          <w:sz w:val="28"/>
          <w:szCs w:val="28"/>
          <w:lang w:val="en-GB"/>
          <w14:textFill>
            <w14:solidFill>
              <w14:schemeClr w14:val="tx1"/>
            </w14:solidFill>
          </w14:textFill>
        </w:rPr>
        <w:t>方，并在其后的</w:t>
      </w:r>
      <w:r>
        <w:rPr>
          <w:color w:val="000000" w:themeColor="text1"/>
          <w:sz w:val="28"/>
          <w:szCs w:val="28"/>
          <w14:textFill>
            <w14:solidFill>
              <w14:schemeClr w14:val="tx1"/>
            </w14:solidFill>
          </w14:textFill>
        </w:rPr>
        <w:t>30</w:t>
      </w:r>
      <w:r>
        <w:rPr>
          <w:color w:val="000000" w:themeColor="text1"/>
          <w:sz w:val="28"/>
          <w:szCs w:val="28"/>
          <w:lang w:val="en-GB"/>
          <w14:textFill>
            <w14:solidFill>
              <w14:schemeClr w14:val="tx1"/>
            </w14:solidFill>
          </w14:textFill>
        </w:rPr>
        <w:t>日内提供证明不可抗力事件发生及其持续的充分证据。</w:t>
      </w:r>
    </w:p>
    <w:p>
      <w:pPr>
        <w:spacing w:line="370" w:lineRule="exact"/>
        <w:ind w:firstLine="560"/>
        <w:contextualSpacing/>
        <w:rPr>
          <w:color w:val="000000" w:themeColor="text1"/>
          <w:sz w:val="28"/>
          <w:szCs w:val="28"/>
          <w:lang w:val="en-GB"/>
          <w14:textFill>
            <w14:solidFill>
              <w14:schemeClr w14:val="tx1"/>
            </w14:solidFill>
          </w14:textFill>
        </w:rPr>
      </w:pPr>
      <w:r>
        <w:rPr>
          <w:color w:val="000000" w:themeColor="text1"/>
          <w:sz w:val="28"/>
          <w:szCs w:val="28"/>
          <w14:textFill>
            <w14:solidFill>
              <w14:schemeClr w14:val="tx1"/>
            </w14:solidFill>
          </w14:textFill>
        </w:rPr>
        <w:t>（四）</w:t>
      </w:r>
      <w:r>
        <w:rPr>
          <w:color w:val="000000" w:themeColor="text1"/>
          <w:sz w:val="28"/>
          <w:szCs w:val="28"/>
          <w:lang w:val="en-GB"/>
          <w14:textFill>
            <w14:solidFill>
              <w14:schemeClr w14:val="tx1"/>
            </w14:solidFill>
          </w14:textFill>
        </w:rPr>
        <w:t>如果发生不可抗力事件，</w:t>
      </w:r>
      <w:r>
        <w:rPr>
          <w:rFonts w:hint="eastAsia"/>
          <w:color w:val="000000" w:themeColor="text1"/>
          <w:sz w:val="28"/>
          <w:szCs w:val="28"/>
          <w:lang w:val="en-GB"/>
          <w14:textFill>
            <w14:solidFill>
              <w14:schemeClr w14:val="tx1"/>
            </w14:solidFill>
          </w14:textFill>
        </w:rPr>
        <w:t>三</w:t>
      </w:r>
      <w:r>
        <w:rPr>
          <w:color w:val="000000" w:themeColor="text1"/>
          <w:sz w:val="28"/>
          <w:szCs w:val="28"/>
          <w:lang w:val="en-GB"/>
          <w14:textFill>
            <w14:solidFill>
              <w14:schemeClr w14:val="tx1"/>
            </w14:solidFill>
          </w14:textFill>
        </w:rPr>
        <w:t>方应协商，以找到公平的解决办法，并且应尽一切合理努力将不可抗力事件的影响减小到最低限度，否则，未采取合理努力方应就扩大的损失承担相应的赔偿责任。</w:t>
      </w:r>
    </w:p>
    <w:p>
      <w:pPr>
        <w:adjustRightInd w:val="0"/>
        <w:spacing w:line="370" w:lineRule="exact"/>
        <w:ind w:firstLine="548" w:firstLineChars="196"/>
        <w:contextualSpacing/>
        <w:rPr>
          <w:rFonts w:eastAsia="黑体"/>
          <w:color w:val="000000" w:themeColor="text1"/>
          <w:sz w:val="28"/>
          <w:szCs w:val="28"/>
          <w14:textFill>
            <w14:solidFill>
              <w14:schemeClr w14:val="tx1"/>
            </w14:solidFill>
          </w14:textFill>
        </w:rPr>
      </w:pPr>
      <w:r>
        <w:rPr>
          <w:rFonts w:eastAsia="黑体"/>
          <w:color w:val="000000" w:themeColor="text1"/>
          <w:sz w:val="28"/>
          <w:szCs w:val="28"/>
          <w14:textFill>
            <w14:solidFill>
              <w14:schemeClr w14:val="tx1"/>
            </w14:solidFill>
          </w14:textFill>
        </w:rPr>
        <w:t>第十</w:t>
      </w:r>
      <w:r>
        <w:rPr>
          <w:rFonts w:hint="eastAsia" w:eastAsia="黑体"/>
          <w:color w:val="000000" w:themeColor="text1"/>
          <w:sz w:val="28"/>
          <w:szCs w:val="28"/>
          <w14:textFill>
            <w14:solidFill>
              <w14:schemeClr w14:val="tx1"/>
            </w14:solidFill>
          </w14:textFill>
        </w:rPr>
        <w:t>一</w:t>
      </w:r>
      <w:r>
        <w:rPr>
          <w:rFonts w:eastAsia="黑体"/>
          <w:color w:val="000000" w:themeColor="text1"/>
          <w:sz w:val="28"/>
          <w:szCs w:val="28"/>
          <w14:textFill>
            <w14:solidFill>
              <w14:schemeClr w14:val="tx1"/>
            </w14:solidFill>
          </w14:textFill>
        </w:rPr>
        <w:t>条  通知</w:t>
      </w:r>
    </w:p>
    <w:p>
      <w:pPr>
        <w:adjustRightInd w:val="0"/>
        <w:spacing w:line="370" w:lineRule="exact"/>
        <w:ind w:firstLine="548" w:firstLineChars="196"/>
        <w:contextualSpacing/>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（一）甲乙</w:t>
      </w:r>
      <w:r>
        <w:rPr>
          <w:rFonts w:hint="eastAsia"/>
          <w:color w:val="000000" w:themeColor="text1"/>
          <w:sz w:val="28"/>
          <w:szCs w:val="28"/>
          <w14:textFill>
            <w14:solidFill>
              <w14:schemeClr w14:val="tx1"/>
            </w14:solidFill>
          </w14:textFill>
        </w:rPr>
        <w:t>丙三</w:t>
      </w:r>
      <w:r>
        <w:rPr>
          <w:color w:val="000000" w:themeColor="text1"/>
          <w:sz w:val="28"/>
          <w:szCs w:val="28"/>
          <w14:textFill>
            <w14:solidFill>
              <w14:schemeClr w14:val="tx1"/>
            </w14:solidFill>
          </w14:textFill>
        </w:rPr>
        <w:t>方因履行本协议或与本协议有关的一切通知都应以书面形式送达</w:t>
      </w:r>
      <w:r>
        <w:rPr>
          <w:rFonts w:hint="eastAsia"/>
          <w:color w:val="000000" w:themeColor="text1"/>
          <w:sz w:val="28"/>
          <w:szCs w:val="28"/>
          <w14:textFill>
            <w14:solidFill>
              <w14:schemeClr w14:val="tx1"/>
            </w14:solidFill>
          </w14:textFill>
        </w:rPr>
        <w:t>其他</w:t>
      </w:r>
      <w:r>
        <w:rPr>
          <w:color w:val="000000" w:themeColor="text1"/>
          <w:sz w:val="28"/>
          <w:szCs w:val="28"/>
          <w14:textFill>
            <w14:solidFill>
              <w14:schemeClr w14:val="tx1"/>
            </w14:solidFill>
          </w14:textFill>
        </w:rPr>
        <w:t>方，被送达方应</w:t>
      </w:r>
      <w:r>
        <w:rPr>
          <w:rFonts w:hint="eastAsia"/>
          <w:color w:val="000000" w:themeColor="text1"/>
          <w:sz w:val="28"/>
          <w:szCs w:val="28"/>
          <w14:textFill>
            <w14:solidFill>
              <w14:schemeClr w14:val="tx1"/>
            </w14:solidFill>
          </w14:textFill>
        </w:rPr>
        <w:t>及</w:t>
      </w:r>
      <w:r>
        <w:rPr>
          <w:color w:val="000000" w:themeColor="text1"/>
          <w:sz w:val="28"/>
          <w:szCs w:val="28"/>
          <w14:textFill>
            <w14:solidFill>
              <w14:schemeClr w14:val="tx1"/>
            </w14:solidFill>
          </w14:textFill>
        </w:rPr>
        <w:t>时签收。如由于被送达方的原因不能送达或被送达方拒绝签收的，送达方可采用挂号信或者邮政特快专递邮寄送达，邮件寄至本协议记载之地址时，即视为送达。在本协议有效期内，一方变更联系人或通信地址的，应当以书面形式通知</w:t>
      </w:r>
      <w:r>
        <w:rPr>
          <w:rFonts w:hint="eastAsia"/>
          <w:color w:val="000000" w:themeColor="text1"/>
          <w:sz w:val="28"/>
          <w:szCs w:val="28"/>
          <w14:textFill>
            <w14:solidFill>
              <w14:schemeClr w14:val="tx1"/>
            </w14:solidFill>
          </w14:textFill>
        </w:rPr>
        <w:t>其他</w:t>
      </w:r>
      <w:r>
        <w:rPr>
          <w:color w:val="000000" w:themeColor="text1"/>
          <w:sz w:val="28"/>
          <w:szCs w:val="28"/>
          <w14:textFill>
            <w14:solidFill>
              <w14:schemeClr w14:val="tx1"/>
            </w14:solidFill>
          </w14:textFill>
        </w:rPr>
        <w:t>方。未书面通知并影响本协议履行或造成损失的，应承担相应的责任。</w:t>
      </w:r>
    </w:p>
    <w:p>
      <w:pPr>
        <w:adjustRightInd w:val="0"/>
        <w:spacing w:line="370" w:lineRule="exact"/>
        <w:ind w:firstLine="548" w:firstLineChars="196"/>
        <w:contextualSpacing/>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（二）</w:t>
      </w:r>
      <w:r>
        <w:rPr>
          <w:rFonts w:hint="eastAsia"/>
          <w:color w:val="000000" w:themeColor="text1"/>
          <w:sz w:val="28"/>
          <w:szCs w:val="28"/>
          <w14:textFill>
            <w14:solidFill>
              <w14:schemeClr w14:val="tx1"/>
            </w14:solidFill>
          </w14:textFill>
        </w:rPr>
        <w:t>三</w:t>
      </w:r>
      <w:r>
        <w:rPr>
          <w:color w:val="000000" w:themeColor="text1"/>
          <w:sz w:val="28"/>
          <w:szCs w:val="28"/>
          <w14:textFill>
            <w14:solidFill>
              <w14:schemeClr w14:val="tx1"/>
            </w14:solidFill>
          </w14:textFill>
        </w:rPr>
        <w:t>方确认以下地址为相关通知、法律文书、诉讼文件的送达地址：</w:t>
      </w:r>
    </w:p>
    <w:p>
      <w:pPr>
        <w:adjustRightInd w:val="0"/>
        <w:spacing w:line="370" w:lineRule="exact"/>
        <w:ind w:firstLine="560"/>
        <w:contextualSpacing/>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甲方确认的送达地址：</w:t>
      </w:r>
      <w:r>
        <w:rPr>
          <w:color w:val="000000" w:themeColor="text1"/>
          <w:sz w:val="28"/>
          <w:szCs w:val="28"/>
          <w:u w:val="single"/>
          <w14:textFill>
            <w14:solidFill>
              <w14:schemeClr w14:val="tx1"/>
            </w14:solidFill>
          </w14:textFill>
        </w:rPr>
        <w:t xml:space="preserve">                                       </w:t>
      </w:r>
      <w:r>
        <w:rPr>
          <w:color w:val="000000" w:themeColor="text1"/>
          <w:sz w:val="28"/>
          <w:szCs w:val="28"/>
          <w14:textFill>
            <w14:solidFill>
              <w14:schemeClr w14:val="tx1"/>
            </w14:solidFill>
          </w14:textFill>
        </w:rPr>
        <w:t xml:space="preserve">                                            </w:t>
      </w:r>
    </w:p>
    <w:p>
      <w:pPr>
        <w:adjustRightInd w:val="0"/>
        <w:spacing w:line="370" w:lineRule="exact"/>
        <w:ind w:firstLine="560"/>
        <w:contextualSpacing/>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邮政编码：</w:t>
      </w:r>
      <w:r>
        <w:rPr>
          <w:color w:val="000000" w:themeColor="text1"/>
          <w:sz w:val="28"/>
          <w:szCs w:val="28"/>
          <w:u w:val="single"/>
          <w14:textFill>
            <w14:solidFill>
              <w14:schemeClr w14:val="tx1"/>
            </w14:solidFill>
          </w14:textFill>
        </w:rPr>
        <w:t xml:space="preserve">                                                 </w:t>
      </w:r>
    </w:p>
    <w:p>
      <w:pPr>
        <w:adjustRightInd w:val="0"/>
        <w:spacing w:line="370" w:lineRule="exact"/>
        <w:ind w:firstLine="560"/>
        <w:contextualSpacing/>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收件人：</w:t>
      </w:r>
      <w:r>
        <w:rPr>
          <w:color w:val="000000" w:themeColor="text1"/>
          <w:sz w:val="28"/>
          <w:szCs w:val="28"/>
          <w:u w:val="single"/>
          <w14:textFill>
            <w14:solidFill>
              <w14:schemeClr w14:val="tx1"/>
            </w14:solidFill>
          </w14:textFill>
        </w:rPr>
        <w:t xml:space="preserve">                     </w:t>
      </w:r>
      <w:r>
        <w:rPr>
          <w:color w:val="000000" w:themeColor="text1"/>
          <w:sz w:val="28"/>
          <w:szCs w:val="28"/>
          <w14:textFill>
            <w14:solidFill>
              <w14:schemeClr w14:val="tx1"/>
            </w14:solidFill>
          </w14:textFill>
        </w:rPr>
        <w:t xml:space="preserve"> 手机号码：</w:t>
      </w:r>
      <w:r>
        <w:rPr>
          <w:color w:val="000000" w:themeColor="text1"/>
          <w:sz w:val="28"/>
          <w:szCs w:val="28"/>
          <w:u w:val="single"/>
          <w14:textFill>
            <w14:solidFill>
              <w14:schemeClr w14:val="tx1"/>
            </w14:solidFill>
          </w14:textFill>
        </w:rPr>
        <w:t xml:space="preserve">                   </w:t>
      </w:r>
    </w:p>
    <w:p>
      <w:pPr>
        <w:adjustRightInd w:val="0"/>
        <w:spacing w:line="370" w:lineRule="exact"/>
        <w:ind w:firstLine="560"/>
        <w:contextualSpacing/>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乙方确认的送达地址：</w:t>
      </w:r>
      <w:r>
        <w:rPr>
          <w:color w:val="000000" w:themeColor="text1"/>
          <w:sz w:val="28"/>
          <w:szCs w:val="28"/>
          <w:u w:val="single"/>
          <w14:textFill>
            <w14:solidFill>
              <w14:schemeClr w14:val="tx1"/>
            </w14:solidFill>
          </w14:textFill>
        </w:rPr>
        <w:t xml:space="preserve">                                       </w:t>
      </w:r>
    </w:p>
    <w:p>
      <w:pPr>
        <w:adjustRightInd w:val="0"/>
        <w:spacing w:line="370" w:lineRule="exact"/>
        <w:ind w:firstLine="560"/>
        <w:contextualSpacing/>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邮政编码：</w:t>
      </w:r>
      <w:r>
        <w:rPr>
          <w:color w:val="000000" w:themeColor="text1"/>
          <w:sz w:val="28"/>
          <w:szCs w:val="28"/>
          <w:u w:val="single"/>
          <w14:textFill>
            <w14:solidFill>
              <w14:schemeClr w14:val="tx1"/>
            </w14:solidFill>
          </w14:textFill>
        </w:rPr>
        <w:t xml:space="preserve">                                                 </w:t>
      </w:r>
    </w:p>
    <w:p>
      <w:pPr>
        <w:adjustRightInd w:val="0"/>
        <w:spacing w:line="370" w:lineRule="exact"/>
        <w:ind w:firstLine="560"/>
        <w:contextualSpacing/>
        <w:rPr>
          <w:color w:val="000000" w:themeColor="text1"/>
          <w:sz w:val="28"/>
          <w:szCs w:val="28"/>
          <w:u w:val="single"/>
          <w14:textFill>
            <w14:solidFill>
              <w14:schemeClr w14:val="tx1"/>
            </w14:solidFill>
          </w14:textFill>
        </w:rPr>
      </w:pPr>
      <w:r>
        <w:rPr>
          <w:color w:val="000000" w:themeColor="text1"/>
          <w:sz w:val="28"/>
          <w:szCs w:val="28"/>
          <w14:textFill>
            <w14:solidFill>
              <w14:schemeClr w14:val="tx1"/>
            </w14:solidFill>
          </w14:textFill>
        </w:rPr>
        <w:t>收件人：</w:t>
      </w:r>
      <w:r>
        <w:rPr>
          <w:color w:val="000000" w:themeColor="text1"/>
          <w:sz w:val="28"/>
          <w:szCs w:val="28"/>
          <w:u w:val="single"/>
          <w14:textFill>
            <w14:solidFill>
              <w14:schemeClr w14:val="tx1"/>
            </w14:solidFill>
          </w14:textFill>
        </w:rPr>
        <w:t xml:space="preserve">                     </w:t>
      </w:r>
      <w:r>
        <w:rPr>
          <w:color w:val="000000" w:themeColor="text1"/>
          <w:sz w:val="28"/>
          <w:szCs w:val="28"/>
          <w14:textFill>
            <w14:solidFill>
              <w14:schemeClr w14:val="tx1"/>
            </w14:solidFill>
          </w14:textFill>
        </w:rPr>
        <w:t xml:space="preserve"> 手机号码：</w:t>
      </w:r>
      <w:r>
        <w:rPr>
          <w:color w:val="000000" w:themeColor="text1"/>
          <w:sz w:val="28"/>
          <w:szCs w:val="28"/>
          <w:u w:val="single"/>
          <w14:textFill>
            <w14:solidFill>
              <w14:schemeClr w14:val="tx1"/>
            </w14:solidFill>
          </w14:textFill>
        </w:rPr>
        <w:t xml:space="preserve">                   </w:t>
      </w:r>
    </w:p>
    <w:p>
      <w:pPr>
        <w:adjustRightInd w:val="0"/>
        <w:spacing w:line="370" w:lineRule="exact"/>
        <w:ind w:firstLine="560"/>
        <w:contextualSpacing/>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丙</w:t>
      </w:r>
      <w:r>
        <w:rPr>
          <w:color w:val="000000" w:themeColor="text1"/>
          <w:sz w:val="28"/>
          <w:szCs w:val="28"/>
          <w14:textFill>
            <w14:solidFill>
              <w14:schemeClr w14:val="tx1"/>
            </w14:solidFill>
          </w14:textFill>
        </w:rPr>
        <w:t>方确认的送达地址：</w:t>
      </w:r>
      <w:r>
        <w:rPr>
          <w:color w:val="000000" w:themeColor="text1"/>
          <w:sz w:val="28"/>
          <w:szCs w:val="28"/>
          <w:u w:val="single"/>
          <w14:textFill>
            <w14:solidFill>
              <w14:schemeClr w14:val="tx1"/>
            </w14:solidFill>
          </w14:textFill>
        </w:rPr>
        <w:t xml:space="preserve">                                       </w:t>
      </w:r>
    </w:p>
    <w:p>
      <w:pPr>
        <w:adjustRightInd w:val="0"/>
        <w:spacing w:line="370" w:lineRule="exact"/>
        <w:ind w:firstLine="560"/>
        <w:contextualSpacing/>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邮政编码：</w:t>
      </w:r>
      <w:r>
        <w:rPr>
          <w:color w:val="000000" w:themeColor="text1"/>
          <w:sz w:val="28"/>
          <w:szCs w:val="28"/>
          <w:u w:val="single"/>
          <w14:textFill>
            <w14:solidFill>
              <w14:schemeClr w14:val="tx1"/>
            </w14:solidFill>
          </w14:textFill>
        </w:rPr>
        <w:t xml:space="preserve">                                                 </w:t>
      </w:r>
    </w:p>
    <w:p>
      <w:pPr>
        <w:adjustRightInd w:val="0"/>
        <w:spacing w:line="370" w:lineRule="exact"/>
        <w:ind w:firstLine="560"/>
        <w:contextualSpacing/>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收件人：</w:t>
      </w:r>
      <w:r>
        <w:rPr>
          <w:color w:val="000000" w:themeColor="text1"/>
          <w:sz w:val="28"/>
          <w:szCs w:val="28"/>
          <w:u w:val="single"/>
          <w14:textFill>
            <w14:solidFill>
              <w14:schemeClr w14:val="tx1"/>
            </w14:solidFill>
          </w14:textFill>
        </w:rPr>
        <w:t xml:space="preserve">                     </w:t>
      </w:r>
      <w:r>
        <w:rPr>
          <w:color w:val="000000" w:themeColor="text1"/>
          <w:sz w:val="28"/>
          <w:szCs w:val="28"/>
          <w14:textFill>
            <w14:solidFill>
              <w14:schemeClr w14:val="tx1"/>
            </w14:solidFill>
          </w14:textFill>
        </w:rPr>
        <w:t xml:space="preserve"> 手机号码：</w:t>
      </w:r>
      <w:r>
        <w:rPr>
          <w:color w:val="000000" w:themeColor="text1"/>
          <w:sz w:val="28"/>
          <w:szCs w:val="28"/>
          <w:u w:val="single"/>
          <w14:textFill>
            <w14:solidFill>
              <w14:schemeClr w14:val="tx1"/>
            </w14:solidFill>
          </w14:textFill>
        </w:rPr>
        <w:t xml:space="preserve">                   </w:t>
      </w:r>
    </w:p>
    <w:p>
      <w:pPr>
        <w:adjustRightInd w:val="0"/>
        <w:spacing w:line="370" w:lineRule="exact"/>
        <w:ind w:firstLine="560"/>
        <w:contextualSpacing/>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三</w:t>
      </w:r>
      <w:r>
        <w:rPr>
          <w:color w:val="000000" w:themeColor="text1"/>
          <w:sz w:val="28"/>
          <w:szCs w:val="28"/>
          <w14:textFill>
            <w14:solidFill>
              <w14:schemeClr w14:val="tx1"/>
            </w14:solidFill>
          </w14:textFill>
        </w:rPr>
        <w:t>方上述送达地址适用范围包括本协议履行期间各类通知、协议等文件以及就协议发生纠纷时相关文件和法律文书</w:t>
      </w:r>
      <w:r>
        <w:rPr>
          <w:rFonts w:hint="eastAsia"/>
          <w:color w:val="000000" w:themeColor="text1"/>
          <w:sz w:val="28"/>
          <w:szCs w:val="28"/>
          <w14:textFill>
            <w14:solidFill>
              <w14:schemeClr w14:val="tx1"/>
            </w14:solidFill>
          </w14:textFill>
        </w:rPr>
        <w:t>、诉讼文件</w:t>
      </w:r>
      <w:r>
        <w:rPr>
          <w:color w:val="000000" w:themeColor="text1"/>
          <w:sz w:val="28"/>
          <w:szCs w:val="28"/>
          <w14:textFill>
            <w14:solidFill>
              <w14:schemeClr w14:val="tx1"/>
            </w14:solidFill>
          </w14:textFill>
        </w:rPr>
        <w:t>的送达，同时包括在争议进入民事诉讼程序的一审、二审、再审和执行程序。</w:t>
      </w:r>
    </w:p>
    <w:p>
      <w:pPr>
        <w:adjustRightInd w:val="0"/>
        <w:spacing w:line="370" w:lineRule="exact"/>
        <w:ind w:firstLine="560"/>
        <w:contextualSpacing/>
        <w:rPr>
          <w:color w:val="000000" w:themeColor="text1"/>
          <w:sz w:val="28"/>
          <w:szCs w:val="28"/>
          <w14:textFill>
            <w14:solidFill>
              <w14:schemeClr w14:val="tx1"/>
            </w14:solidFill>
          </w14:textFill>
        </w:rPr>
      </w:pPr>
      <w:r>
        <w:rPr>
          <w:rFonts w:eastAsia="黑体"/>
          <w:color w:val="000000" w:themeColor="text1"/>
          <w:sz w:val="28"/>
          <w:szCs w:val="28"/>
          <w14:textFill>
            <w14:solidFill>
              <w14:schemeClr w14:val="tx1"/>
            </w14:solidFill>
          </w14:textFill>
        </w:rPr>
        <w:t>第十</w:t>
      </w:r>
      <w:r>
        <w:rPr>
          <w:rFonts w:hint="eastAsia" w:eastAsia="黑体"/>
          <w:color w:val="000000" w:themeColor="text1"/>
          <w:sz w:val="28"/>
          <w:szCs w:val="28"/>
          <w14:textFill>
            <w14:solidFill>
              <w14:schemeClr w14:val="tx1"/>
            </w14:solidFill>
          </w14:textFill>
        </w:rPr>
        <w:t>二</w:t>
      </w:r>
      <w:r>
        <w:rPr>
          <w:rFonts w:eastAsia="黑体"/>
          <w:color w:val="000000" w:themeColor="text1"/>
          <w:sz w:val="28"/>
          <w:szCs w:val="28"/>
          <w14:textFill>
            <w14:solidFill>
              <w14:schemeClr w14:val="tx1"/>
            </w14:solidFill>
          </w14:textFill>
        </w:rPr>
        <w:t>条  争议解决</w:t>
      </w:r>
    </w:p>
    <w:p>
      <w:pPr>
        <w:adjustRightInd w:val="0"/>
        <w:spacing w:line="370" w:lineRule="exact"/>
        <w:ind w:firstLine="560"/>
        <w:contextualSpacing/>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（一）所有因本协议引起的或与本协议有关的任何争议将通过三方友好协商解决。如果</w:t>
      </w:r>
      <w:r>
        <w:rPr>
          <w:rFonts w:hint="eastAsia"/>
          <w:color w:val="000000" w:themeColor="text1"/>
          <w:sz w:val="28"/>
          <w:szCs w:val="28"/>
          <w14:textFill>
            <w14:solidFill>
              <w14:schemeClr w14:val="tx1"/>
            </w14:solidFill>
          </w14:textFill>
        </w:rPr>
        <w:t>三</w:t>
      </w:r>
      <w:r>
        <w:rPr>
          <w:color w:val="000000" w:themeColor="text1"/>
          <w:sz w:val="28"/>
          <w:szCs w:val="28"/>
          <w14:textFill>
            <w14:solidFill>
              <w14:schemeClr w14:val="tx1"/>
            </w14:solidFill>
          </w14:textFill>
        </w:rPr>
        <w:t>方不能协商达成一致的，</w:t>
      </w:r>
      <w:r>
        <w:rPr>
          <w:rFonts w:hint="eastAsia"/>
          <w:color w:val="000000" w:themeColor="text1"/>
          <w:sz w:val="28"/>
          <w:szCs w:val="28"/>
          <w14:textFill>
            <w14:solidFill>
              <w14:schemeClr w14:val="tx1"/>
            </w14:solidFill>
          </w14:textFill>
        </w:rPr>
        <w:t>三</w:t>
      </w:r>
      <w:r>
        <w:rPr>
          <w:color w:val="000000" w:themeColor="text1"/>
          <w:sz w:val="28"/>
          <w:szCs w:val="28"/>
          <w14:textFill>
            <w14:solidFill>
              <w14:schemeClr w14:val="tx1"/>
            </w14:solidFill>
          </w14:textFill>
        </w:rPr>
        <w:t>方约定采取下述第〔 〕种争议解决方式：</w:t>
      </w:r>
    </w:p>
    <w:p>
      <w:pPr>
        <w:adjustRightInd w:val="0"/>
        <w:spacing w:line="370" w:lineRule="exact"/>
        <w:ind w:firstLine="560"/>
        <w:contextualSpacing/>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1.向</w:t>
      </w:r>
      <w:r>
        <w:rPr>
          <w:color w:val="000000" w:themeColor="text1"/>
          <w:sz w:val="28"/>
          <w:szCs w:val="28"/>
          <w:u w:val="single"/>
          <w14:textFill>
            <w14:solidFill>
              <w14:schemeClr w14:val="tx1"/>
            </w14:solidFill>
          </w14:textFill>
        </w:rPr>
        <w:t xml:space="preserve">       </w:t>
      </w:r>
      <w:r>
        <w:rPr>
          <w:color w:val="000000" w:themeColor="text1"/>
          <w:sz w:val="28"/>
          <w:szCs w:val="28"/>
          <w14:textFill>
            <w14:solidFill>
              <w14:schemeClr w14:val="tx1"/>
            </w14:solidFill>
          </w14:textFill>
        </w:rPr>
        <w:t>仲裁委员会申请仲裁，按照届时该仲裁委员会有效的仲裁规则进行仲裁，仲裁裁决是终局的，对三方均有约束力。</w:t>
      </w:r>
    </w:p>
    <w:p>
      <w:pPr>
        <w:adjustRightInd w:val="0"/>
        <w:spacing w:line="370" w:lineRule="exact"/>
        <w:ind w:firstLine="560"/>
        <w:contextualSpacing/>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2.向甲方所在地有管辖权的</w:t>
      </w:r>
      <w:r>
        <w:rPr>
          <w:color w:val="000000" w:themeColor="text1"/>
          <w:sz w:val="28"/>
          <w:szCs w:val="28"/>
          <w:u w:val="single"/>
          <w14:textFill>
            <w14:solidFill>
              <w14:schemeClr w14:val="tx1"/>
            </w14:solidFill>
          </w14:textFill>
        </w:rPr>
        <w:t xml:space="preserve">              </w:t>
      </w:r>
      <w:r>
        <w:rPr>
          <w:color w:val="000000" w:themeColor="text1"/>
          <w:sz w:val="28"/>
          <w:szCs w:val="28"/>
          <w14:textFill>
            <w14:solidFill>
              <w14:schemeClr w14:val="tx1"/>
            </w14:solidFill>
          </w14:textFill>
        </w:rPr>
        <w:t>法院提起诉讼。</w:t>
      </w:r>
    </w:p>
    <w:p>
      <w:pPr>
        <w:adjustRightInd w:val="0"/>
        <w:spacing w:line="370" w:lineRule="exact"/>
        <w:ind w:firstLine="560"/>
        <w:contextualSpacing/>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3.按照中国铁路总公司相关规定调解解决。</w:t>
      </w:r>
    </w:p>
    <w:p>
      <w:pPr>
        <w:adjustRightInd w:val="0"/>
        <w:spacing w:line="370" w:lineRule="exact"/>
        <w:ind w:firstLine="560"/>
        <w:contextualSpacing/>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（二）仲裁、诉讼或调解进行过程中，</w:t>
      </w:r>
      <w:r>
        <w:rPr>
          <w:rFonts w:hint="eastAsia"/>
          <w:color w:val="000000" w:themeColor="text1"/>
          <w:sz w:val="28"/>
          <w:szCs w:val="28"/>
          <w14:textFill>
            <w14:solidFill>
              <w14:schemeClr w14:val="tx1"/>
            </w14:solidFill>
          </w14:textFill>
        </w:rPr>
        <w:t>三</w:t>
      </w:r>
      <w:r>
        <w:rPr>
          <w:color w:val="000000" w:themeColor="text1"/>
          <w:sz w:val="28"/>
          <w:szCs w:val="28"/>
          <w14:textFill>
            <w14:solidFill>
              <w14:schemeClr w14:val="tx1"/>
            </w14:solidFill>
          </w14:textFill>
        </w:rPr>
        <w:t>方需继续履行本协议未涉争议的其它部分。</w:t>
      </w:r>
    </w:p>
    <w:p>
      <w:pPr>
        <w:pStyle w:val="30"/>
        <w:adjustRightInd w:val="0"/>
        <w:snapToGrid w:val="0"/>
        <w:spacing w:line="370" w:lineRule="exact"/>
        <w:ind w:firstLine="560" w:firstLineChars="200"/>
        <w:jc w:val="both"/>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第十三条  协议生效条件及文本数量</w:t>
      </w:r>
    </w:p>
    <w:p>
      <w:pPr>
        <w:numPr>
          <w:ilvl w:val="0"/>
          <w:numId w:val="4"/>
        </w:numPr>
        <w:tabs>
          <w:tab w:val="left" w:pos="1418"/>
        </w:tabs>
        <w:spacing w:line="370" w:lineRule="exact"/>
        <w:ind w:left="0" w:firstLine="565" w:firstLineChars="202"/>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本协议经双方法定代表人</w:t>
      </w:r>
      <w:r>
        <w:rPr>
          <w:rFonts w:hint="eastAsia"/>
          <w:color w:val="000000" w:themeColor="text1"/>
          <w:sz w:val="28"/>
          <w:szCs w:val="28"/>
          <w14:textFill>
            <w14:solidFill>
              <w14:schemeClr w14:val="tx1"/>
            </w14:solidFill>
          </w14:textFill>
        </w:rPr>
        <w:t>（负责人）</w:t>
      </w:r>
      <w:r>
        <w:rPr>
          <w:color w:val="000000" w:themeColor="text1"/>
          <w:sz w:val="28"/>
          <w:szCs w:val="28"/>
          <w14:textFill>
            <w14:solidFill>
              <w14:schemeClr w14:val="tx1"/>
            </w14:solidFill>
          </w14:textFill>
        </w:rPr>
        <w:t>或委托代理人签字并盖章后生效</w:t>
      </w:r>
      <w:r>
        <w:rPr>
          <w:rFonts w:hint="eastAsia"/>
          <w:color w:val="000000" w:themeColor="text1"/>
          <w:sz w:val="28"/>
          <w:szCs w:val="28"/>
          <w14:textFill>
            <w14:solidFill>
              <w14:schemeClr w14:val="tx1"/>
            </w14:solidFill>
          </w14:textFill>
        </w:rPr>
        <w:t>。</w:t>
      </w:r>
    </w:p>
    <w:p>
      <w:pPr>
        <w:spacing w:line="370" w:lineRule="exact"/>
        <w:ind w:firstLine="565" w:firstLineChars="202"/>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（二）</w:t>
      </w:r>
      <w:r>
        <w:rPr>
          <w:color w:val="000000" w:themeColor="text1"/>
          <w:sz w:val="28"/>
          <w:szCs w:val="28"/>
          <w14:textFill>
            <w14:solidFill>
              <w14:schemeClr w14:val="tx1"/>
            </w14:solidFill>
          </w14:textFill>
        </w:rPr>
        <w:t>本协议文本一式</w:t>
      </w:r>
      <w:r>
        <w:rPr>
          <w:color w:val="000000" w:themeColor="text1"/>
          <w:sz w:val="28"/>
          <w:szCs w:val="28"/>
          <w:u w:val="single"/>
          <w14:textFill>
            <w14:solidFill>
              <w14:schemeClr w14:val="tx1"/>
            </w14:solidFill>
          </w14:textFill>
        </w:rPr>
        <w:t xml:space="preserve"> </w:t>
      </w:r>
      <w:r>
        <w:rPr>
          <w:rFonts w:hint="eastAsia"/>
          <w:color w:val="000000" w:themeColor="text1"/>
          <w:sz w:val="28"/>
          <w:szCs w:val="28"/>
          <w:u w:val="single"/>
          <w14:textFill>
            <w14:solidFill>
              <w14:schemeClr w14:val="tx1"/>
            </w14:solidFill>
          </w14:textFill>
        </w:rPr>
        <w:t xml:space="preserve">  </w:t>
      </w:r>
      <w:r>
        <w:rPr>
          <w:color w:val="000000" w:themeColor="text1"/>
          <w:sz w:val="28"/>
          <w:szCs w:val="28"/>
          <w:u w:val="single"/>
          <w14:textFill>
            <w14:solidFill>
              <w14:schemeClr w14:val="tx1"/>
            </w14:solidFill>
          </w14:textFill>
        </w:rPr>
        <w:t xml:space="preserve"> </w:t>
      </w:r>
      <w:r>
        <w:rPr>
          <w:color w:val="000000" w:themeColor="text1"/>
          <w:sz w:val="28"/>
          <w:szCs w:val="28"/>
          <w14:textFill>
            <w14:solidFill>
              <w14:schemeClr w14:val="tx1"/>
            </w14:solidFill>
          </w14:textFill>
        </w:rPr>
        <w:t>份，甲方执</w:t>
      </w:r>
      <w:r>
        <w:rPr>
          <w:color w:val="000000" w:themeColor="text1"/>
          <w:sz w:val="28"/>
          <w:szCs w:val="28"/>
          <w:u w:val="single"/>
          <w14:textFill>
            <w14:solidFill>
              <w14:schemeClr w14:val="tx1"/>
            </w14:solidFill>
          </w14:textFill>
        </w:rPr>
        <w:t xml:space="preserve"> </w:t>
      </w:r>
      <w:r>
        <w:rPr>
          <w:rFonts w:hint="eastAsia"/>
          <w:color w:val="000000" w:themeColor="text1"/>
          <w:sz w:val="28"/>
          <w:szCs w:val="28"/>
          <w:u w:val="single"/>
          <w14:textFill>
            <w14:solidFill>
              <w14:schemeClr w14:val="tx1"/>
            </w14:solidFill>
          </w14:textFill>
        </w:rPr>
        <w:t xml:space="preserve">  </w:t>
      </w:r>
      <w:r>
        <w:rPr>
          <w:color w:val="000000" w:themeColor="text1"/>
          <w:sz w:val="28"/>
          <w:szCs w:val="28"/>
          <w:u w:val="single"/>
          <w14:textFill>
            <w14:solidFill>
              <w14:schemeClr w14:val="tx1"/>
            </w14:solidFill>
          </w14:textFill>
        </w:rPr>
        <w:t xml:space="preserve"> </w:t>
      </w:r>
      <w:r>
        <w:rPr>
          <w:color w:val="000000" w:themeColor="text1"/>
          <w:sz w:val="28"/>
          <w:szCs w:val="28"/>
          <w14:textFill>
            <w14:solidFill>
              <w14:schemeClr w14:val="tx1"/>
            </w14:solidFill>
          </w14:textFill>
        </w:rPr>
        <w:t>份</w:t>
      </w:r>
      <w:r>
        <w:rPr>
          <w:rFonts w:hint="eastAsia"/>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乙方执</w:t>
      </w:r>
      <w:r>
        <w:rPr>
          <w:color w:val="000000" w:themeColor="text1"/>
          <w:sz w:val="28"/>
          <w:szCs w:val="28"/>
          <w:u w:val="single"/>
          <w14:textFill>
            <w14:solidFill>
              <w14:schemeClr w14:val="tx1"/>
            </w14:solidFill>
          </w14:textFill>
        </w:rPr>
        <w:t xml:space="preserve"> </w:t>
      </w:r>
      <w:r>
        <w:rPr>
          <w:rFonts w:hint="eastAsia"/>
          <w:color w:val="000000" w:themeColor="text1"/>
          <w:sz w:val="28"/>
          <w:szCs w:val="28"/>
          <w:u w:val="single"/>
          <w14:textFill>
            <w14:solidFill>
              <w14:schemeClr w14:val="tx1"/>
            </w14:solidFill>
          </w14:textFill>
        </w:rPr>
        <w:t xml:space="preserve">  </w:t>
      </w:r>
      <w:r>
        <w:rPr>
          <w:color w:val="000000" w:themeColor="text1"/>
          <w:sz w:val="28"/>
          <w:szCs w:val="28"/>
          <w:u w:val="single"/>
          <w14:textFill>
            <w14:solidFill>
              <w14:schemeClr w14:val="tx1"/>
            </w14:solidFill>
          </w14:textFill>
        </w:rPr>
        <w:t xml:space="preserve"> </w:t>
      </w:r>
      <w:r>
        <w:rPr>
          <w:color w:val="000000" w:themeColor="text1"/>
          <w:sz w:val="28"/>
          <w:szCs w:val="28"/>
          <w14:textFill>
            <w14:solidFill>
              <w14:schemeClr w14:val="tx1"/>
            </w14:solidFill>
          </w14:textFill>
        </w:rPr>
        <w:t>份</w:t>
      </w:r>
      <w:r>
        <w:rPr>
          <w:rFonts w:hint="eastAsia"/>
          <w:color w:val="000000" w:themeColor="text1"/>
          <w:sz w:val="28"/>
          <w:szCs w:val="28"/>
          <w14:textFill>
            <w14:solidFill>
              <w14:schemeClr w14:val="tx1"/>
            </w14:solidFill>
          </w14:textFill>
        </w:rPr>
        <w:t>，丙</w:t>
      </w:r>
      <w:r>
        <w:rPr>
          <w:color w:val="000000" w:themeColor="text1"/>
          <w:sz w:val="28"/>
          <w:szCs w:val="28"/>
          <w14:textFill>
            <w14:solidFill>
              <w14:schemeClr w14:val="tx1"/>
            </w14:solidFill>
          </w14:textFill>
        </w:rPr>
        <w:t>方执</w:t>
      </w:r>
      <w:r>
        <w:rPr>
          <w:color w:val="000000" w:themeColor="text1"/>
          <w:sz w:val="28"/>
          <w:szCs w:val="28"/>
          <w:u w:val="single"/>
          <w14:textFill>
            <w14:solidFill>
              <w14:schemeClr w14:val="tx1"/>
            </w14:solidFill>
          </w14:textFill>
        </w:rPr>
        <w:t xml:space="preserve"> </w:t>
      </w:r>
      <w:r>
        <w:rPr>
          <w:rFonts w:hint="eastAsia"/>
          <w:color w:val="000000" w:themeColor="text1"/>
          <w:sz w:val="28"/>
          <w:szCs w:val="28"/>
          <w:u w:val="single"/>
          <w14:textFill>
            <w14:solidFill>
              <w14:schemeClr w14:val="tx1"/>
            </w14:solidFill>
          </w14:textFill>
        </w:rPr>
        <w:t xml:space="preserve">  </w:t>
      </w:r>
      <w:r>
        <w:rPr>
          <w:color w:val="000000" w:themeColor="text1"/>
          <w:sz w:val="28"/>
          <w:szCs w:val="28"/>
          <w:u w:val="single"/>
          <w14:textFill>
            <w14:solidFill>
              <w14:schemeClr w14:val="tx1"/>
            </w14:solidFill>
          </w14:textFill>
        </w:rPr>
        <w:t xml:space="preserve"> </w:t>
      </w:r>
      <w:r>
        <w:rPr>
          <w:color w:val="000000" w:themeColor="text1"/>
          <w:sz w:val="28"/>
          <w:szCs w:val="28"/>
          <w14:textFill>
            <w14:solidFill>
              <w14:schemeClr w14:val="tx1"/>
            </w14:solidFill>
          </w14:textFill>
        </w:rPr>
        <w:t>份。</w:t>
      </w:r>
    </w:p>
    <w:p>
      <w:pPr>
        <w:pStyle w:val="30"/>
        <w:adjustRightInd w:val="0"/>
        <w:snapToGrid w:val="0"/>
        <w:spacing w:line="370" w:lineRule="exact"/>
        <w:ind w:firstLine="560" w:firstLineChars="200"/>
        <w:jc w:val="both"/>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第十四条 其他约定</w:t>
      </w:r>
    </w:p>
    <w:p>
      <w:pPr>
        <w:spacing w:line="370" w:lineRule="exact"/>
        <w:ind w:firstLine="560"/>
        <w:contextualSpacing/>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（一）本协议未尽事宜，</w:t>
      </w:r>
      <w:r>
        <w:rPr>
          <w:rFonts w:hint="eastAsia" w:hAnsi="宋体"/>
          <w:color w:val="000000" w:themeColor="text1"/>
          <w:sz w:val="28"/>
          <w:szCs w:val="28"/>
          <w14:textFill>
            <w14:solidFill>
              <w14:schemeClr w14:val="tx1"/>
            </w14:solidFill>
          </w14:textFill>
        </w:rPr>
        <w:t>按铁路有关规章制度。</w:t>
      </w:r>
      <w:r>
        <w:rPr>
          <w:rFonts w:hint="eastAsia"/>
          <w:color w:val="000000" w:themeColor="text1"/>
          <w:sz w:val="28"/>
          <w:szCs w:val="28"/>
          <w14:textFill>
            <w14:solidFill>
              <w14:schemeClr w14:val="tx1"/>
            </w14:solidFill>
          </w14:textFill>
        </w:rPr>
        <w:t>需</w:t>
      </w:r>
      <w:r>
        <w:rPr>
          <w:color w:val="000000" w:themeColor="text1"/>
          <w:sz w:val="28"/>
          <w:szCs w:val="28"/>
          <w14:textFill>
            <w14:solidFill>
              <w14:schemeClr w14:val="tx1"/>
            </w14:solidFill>
          </w14:textFill>
        </w:rPr>
        <w:t>签订补充协议</w:t>
      </w:r>
      <w:r>
        <w:rPr>
          <w:rFonts w:hint="eastAsia"/>
          <w:color w:val="000000" w:themeColor="text1"/>
          <w:sz w:val="28"/>
          <w:szCs w:val="28"/>
          <w14:textFill>
            <w14:solidFill>
              <w14:schemeClr w14:val="tx1"/>
            </w14:solidFill>
          </w14:textFill>
        </w:rPr>
        <w:t>的</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签订的</w:t>
      </w:r>
      <w:r>
        <w:rPr>
          <w:color w:val="000000" w:themeColor="text1"/>
          <w:sz w:val="28"/>
          <w:szCs w:val="28"/>
          <w14:textFill>
            <w14:solidFill>
              <w14:schemeClr w14:val="tx1"/>
            </w14:solidFill>
          </w14:textFill>
        </w:rPr>
        <w:t>补充协议与本协议具有同等的法律效力。</w:t>
      </w:r>
    </w:p>
    <w:p>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adjustRightInd w:val="0"/>
        <w:snapToGrid w:val="0"/>
        <w:spacing w:line="370" w:lineRule="exact"/>
        <w:ind w:firstLine="56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（二）三方应遵守铁路专用线管理的各项规章制度，建立工作联系和信息共享制度，相互及时通报有关重要信息。</w:t>
      </w:r>
    </w:p>
    <w:p>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adjustRightInd w:val="0"/>
        <w:snapToGrid w:val="0"/>
        <w:spacing w:line="370" w:lineRule="exact"/>
        <w:ind w:firstLine="56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（三）未得到其他方的书面许可，一方不得以广告或在公共场合使用或摹仿对方的商业名称、商标、图案、服务标志、符号、代码、型号或缩写等。</w:t>
      </w:r>
    </w:p>
    <w:p>
      <w:pPr>
        <w:spacing w:line="370" w:lineRule="exact"/>
        <w:ind w:firstLine="56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（四）本协议履行期内，如遇国家法律、法规、规章调整或中国铁路总公司、甲方主管单位出台新规定时，其他方同意按新的法律、法规、规章或规定执行，如有损失，由三方各自承担。</w:t>
      </w:r>
    </w:p>
    <w:p>
      <w:pPr>
        <w:spacing w:line="370" w:lineRule="exact"/>
        <w:ind w:firstLine="56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（五）三方已充分了解并清楚本协议及其附件的含义，并明确其权利和所能承担的责任。</w:t>
      </w:r>
    </w:p>
    <w:p>
      <w:pPr>
        <w:spacing w:line="370" w:lineRule="exact"/>
        <w:ind w:firstLine="560"/>
        <w:contextualSpacing/>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六</w:t>
      </w:r>
      <w:r>
        <w:rPr>
          <w:color w:val="000000" w:themeColor="text1"/>
          <w:sz w:val="28"/>
          <w:szCs w:val="28"/>
          <w14:textFill>
            <w14:solidFill>
              <w14:schemeClr w14:val="tx1"/>
            </w14:solidFill>
          </w14:textFill>
        </w:rPr>
        <w:t>）本协议产生的债权，乙方</w:t>
      </w:r>
      <w:r>
        <w:rPr>
          <w:rFonts w:hint="eastAsia"/>
          <w:color w:val="000000" w:themeColor="text1"/>
          <w:sz w:val="28"/>
          <w:szCs w:val="28"/>
          <w14:textFill>
            <w14:solidFill>
              <w14:schemeClr w14:val="tx1"/>
            </w14:solidFill>
          </w14:textFill>
        </w:rPr>
        <w:t>或丙方</w:t>
      </w:r>
      <w:r>
        <w:rPr>
          <w:color w:val="000000" w:themeColor="text1"/>
          <w:sz w:val="28"/>
          <w:szCs w:val="28"/>
          <w14:textFill>
            <w14:solidFill>
              <w14:schemeClr w14:val="tx1"/>
            </w14:solidFill>
          </w14:textFill>
        </w:rPr>
        <w:t>不能向</w:t>
      </w:r>
      <w:r>
        <w:rPr>
          <w:rFonts w:hint="eastAsia"/>
          <w:color w:val="000000" w:themeColor="text1"/>
          <w:sz w:val="28"/>
          <w:szCs w:val="28"/>
          <w14:textFill>
            <w14:solidFill>
              <w14:schemeClr w14:val="tx1"/>
            </w14:solidFill>
          </w14:textFill>
        </w:rPr>
        <w:t>第三方</w:t>
      </w:r>
      <w:r>
        <w:rPr>
          <w:color w:val="000000" w:themeColor="text1"/>
          <w:sz w:val="28"/>
          <w:szCs w:val="28"/>
          <w14:textFill>
            <w14:solidFill>
              <w14:schemeClr w14:val="tx1"/>
            </w14:solidFill>
          </w14:textFill>
        </w:rPr>
        <w:t>转让和质押（包括但不限于向银行保理、应收账款质押等）。</w:t>
      </w:r>
    </w:p>
    <w:p>
      <w:pPr>
        <w:spacing w:line="370" w:lineRule="exact"/>
        <w:ind w:firstLine="560"/>
        <w:contextualSpacing/>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（七）本</w:t>
      </w:r>
      <w:r>
        <w:rPr>
          <w:color w:val="000000" w:themeColor="text1"/>
          <w:sz w:val="28"/>
          <w:szCs w:val="28"/>
          <w14:textFill>
            <w14:solidFill>
              <w14:schemeClr w14:val="tx1"/>
            </w14:solidFill>
          </w14:textFill>
        </w:rPr>
        <w:t>协议任何条款被禁止或被认定无效或被撤销，该禁止、无效或撤销不得影响协议任何其他条款的有效性和继续实施。</w:t>
      </w:r>
    </w:p>
    <w:p>
      <w:pPr>
        <w:spacing w:line="370" w:lineRule="exact"/>
        <w:ind w:firstLine="560"/>
        <w:contextualSpacing/>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（八）在运输过程中涉及的安全事项，按中国铁路总公司有关规定执行或另行签订安全协议。</w:t>
      </w:r>
    </w:p>
    <w:p>
      <w:pPr>
        <w:adjustRightInd w:val="0"/>
        <w:snapToGrid w:val="0"/>
        <w:spacing w:line="336" w:lineRule="auto"/>
        <w:ind w:firstLine="560"/>
        <w:contextualSpacing/>
        <w:rPr>
          <w:rFonts w:hAnsi="仿宋"/>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（九）</w:t>
      </w:r>
      <w:r>
        <w:rPr>
          <w:rFonts w:hint="eastAsia" w:hAnsi="宋体"/>
          <w:color w:val="000000" w:themeColor="text1"/>
          <w:sz w:val="28"/>
          <w:szCs w:val="28"/>
          <w14:textFill>
            <w14:solidFill>
              <w14:schemeClr w14:val="tx1"/>
            </w14:solidFill>
          </w14:textFill>
        </w:rPr>
        <w:t>其他约定：</w:t>
      </w:r>
      <w:r>
        <w:rPr>
          <w:rFonts w:hint="eastAsia" w:hAnsi="仿宋"/>
          <w:color w:val="000000" w:themeColor="text1"/>
          <w:sz w:val="28"/>
          <w:szCs w:val="28"/>
          <w14:textFill>
            <w14:solidFill>
              <w14:schemeClr w14:val="tx1"/>
            </w14:solidFill>
          </w14:textFill>
        </w:rPr>
        <w:t>1.乙方要加强发到货物品名检查，防止丙方匿报品名、夹带危险货物，经甲方查获丙方匿报品名、夹带危险货物时，除向丙方按国铁集团有关规定补收费用、取消托运外，还有权终止履行共用协议，限期整改。因丙方匿报品名、夹带危险货物造成的事故和经济损失，概由乙方负责。</w:t>
      </w:r>
    </w:p>
    <w:p>
      <w:pPr>
        <w:adjustRightInd w:val="0"/>
        <w:snapToGrid w:val="0"/>
        <w:spacing w:line="336" w:lineRule="auto"/>
        <w:ind w:firstLine="560"/>
        <w:contextualSpacing/>
        <w:rPr>
          <w:rFonts w:hAnsi="仿宋"/>
          <w:color w:val="000000" w:themeColor="text1"/>
          <w:sz w:val="28"/>
          <w:szCs w:val="28"/>
          <w14:textFill>
            <w14:solidFill>
              <w14:schemeClr w14:val="tx1"/>
            </w14:solidFill>
          </w14:textFill>
        </w:rPr>
      </w:pPr>
      <w:r>
        <w:rPr>
          <w:rFonts w:hint="eastAsia" w:hAnsi="仿宋"/>
          <w:color w:val="000000" w:themeColor="text1"/>
          <w:sz w:val="28"/>
          <w:szCs w:val="28"/>
          <w14:textFill>
            <w14:solidFill>
              <w14:schemeClr w14:val="tx1"/>
            </w14:solidFill>
          </w14:textFill>
        </w:rPr>
        <w:t>2.专用线内装卸车组织原则上由乙方负责，因货物性质特殊、装卸劳力不足等原因，确需由丙方组织装卸车的货物，乙方应与丙方另行商定，并按照铁路装卸作业标准检查验收丙方装卸车作业质量，甲方检查发现的装卸车作业质量问题，责任概由乙方承担。</w:t>
      </w:r>
    </w:p>
    <w:p>
      <w:pPr>
        <w:adjustRightInd w:val="0"/>
        <w:snapToGrid w:val="0"/>
        <w:spacing w:line="336" w:lineRule="auto"/>
        <w:ind w:firstLine="560"/>
        <w:contextualSpacing/>
        <w:rPr>
          <w:rFonts w:hAnsi="仿宋"/>
          <w:color w:val="000000" w:themeColor="text1"/>
          <w:sz w:val="28"/>
          <w:szCs w:val="28"/>
          <w14:textFill>
            <w14:solidFill>
              <w14:schemeClr w14:val="tx1"/>
            </w14:solidFill>
          </w14:textFill>
        </w:rPr>
      </w:pPr>
      <w:r>
        <w:rPr>
          <w:rFonts w:hint="eastAsia" w:hAnsi="仿宋"/>
          <w:color w:val="000000" w:themeColor="text1"/>
          <w:sz w:val="28"/>
          <w:szCs w:val="28"/>
          <w14:textFill>
            <w14:solidFill>
              <w14:schemeClr w14:val="tx1"/>
            </w14:solidFill>
          </w14:textFill>
        </w:rPr>
        <w:t>3.丙方在乙方专用线的货物装卸作业时间标准应符合乙方与甲方签订的专用线运输协议约定，超过约定时间标准，由乙方统一向甲方支付货车延期占用费。因丙方责任产生的货车延期占用费，由乙方与丙方另行商定。</w:t>
      </w:r>
    </w:p>
    <w:p>
      <w:pPr>
        <w:adjustRightInd w:val="0"/>
        <w:snapToGrid w:val="0"/>
        <w:spacing w:line="336" w:lineRule="auto"/>
        <w:ind w:firstLine="420" w:firstLineChars="150"/>
        <w:rPr>
          <w:rFonts w:hAnsi="仿宋"/>
          <w:color w:val="000000" w:themeColor="text1"/>
          <w:sz w:val="28"/>
          <w:szCs w:val="28"/>
          <w14:textFill>
            <w14:solidFill>
              <w14:schemeClr w14:val="tx1"/>
            </w14:solidFill>
          </w14:textFill>
        </w:rPr>
      </w:pPr>
      <w:r>
        <w:rPr>
          <w:rFonts w:hint="eastAsia" w:hAnsi="仿宋"/>
          <w:color w:val="000000" w:themeColor="text1"/>
          <w:sz w:val="28"/>
          <w:szCs w:val="28"/>
          <w14:textFill>
            <w14:solidFill>
              <w14:schemeClr w14:val="tx1"/>
            </w14:solidFill>
          </w14:textFill>
        </w:rPr>
        <w:t>4.因丙方责任造成货车积压，经调整装卸车作业地点仍不能得到解决的，甲方可采取临时停限装措施限制货物发到。</w:t>
      </w:r>
    </w:p>
    <w:p>
      <w:pPr>
        <w:adjustRightInd w:val="0"/>
        <w:snapToGrid w:val="0"/>
        <w:spacing w:line="336" w:lineRule="auto"/>
        <w:ind w:firstLine="420" w:firstLineChars="150"/>
        <w:rPr>
          <w:rFonts w:hAnsi="仿宋"/>
          <w:color w:val="000000" w:themeColor="text1"/>
          <w:sz w:val="28"/>
          <w:szCs w:val="28"/>
          <w14:textFill>
            <w14:solidFill>
              <w14:schemeClr w14:val="tx1"/>
            </w14:solidFill>
          </w14:textFill>
        </w:rPr>
      </w:pPr>
      <w:r>
        <w:rPr>
          <w:rFonts w:hint="eastAsia" w:hAnsi="仿宋"/>
          <w:color w:val="000000" w:themeColor="text1"/>
          <w:sz w:val="28"/>
          <w:szCs w:val="28"/>
          <w14:textFill>
            <w14:solidFill>
              <w14:schemeClr w14:val="tx1"/>
            </w14:solidFill>
          </w14:textFill>
        </w:rPr>
        <w:t>5.</w:t>
      </w:r>
      <w:r>
        <w:rPr>
          <w:rFonts w:hint="eastAsia" w:hAnsi="华文宋体"/>
          <w:color w:val="000000" w:themeColor="text1"/>
          <w:sz w:val="28"/>
          <w:szCs w:val="28"/>
          <w14:textFill>
            <w14:solidFill>
              <w14:schemeClr w14:val="tx1"/>
            </w14:solidFill>
          </w14:textFill>
        </w:rPr>
        <w:t>由于专用线存在危及安全的情况或发生安全事故需整改落实等原因造成停止专用线取送车，对后续到达该专用线车辆，丙方应无条件同意分流卸车。</w:t>
      </w:r>
      <w:r>
        <w:rPr>
          <w:rFonts w:hint="eastAsia" w:hAnsi="华文宋体" w:cs="宋体"/>
          <w:color w:val="000000" w:themeColor="text1"/>
          <w:sz w:val="28"/>
          <w:szCs w:val="28"/>
          <w14:textFill>
            <w14:solidFill>
              <w14:schemeClr w14:val="tx1"/>
            </w14:solidFill>
          </w14:textFill>
        </w:rPr>
        <w:t>因分流卸车产生的铁路运输杂费由乙方承担。</w:t>
      </w:r>
    </w:p>
    <w:p>
      <w:pPr>
        <w:adjustRightInd w:val="0"/>
        <w:spacing w:line="560" w:lineRule="exact"/>
        <w:ind w:firstLine="420" w:firstLineChars="150"/>
        <w:rPr>
          <w:rFonts w:hAnsi="华文宋体"/>
          <w:color w:val="000000" w:themeColor="text1"/>
          <w:sz w:val="28"/>
          <w:szCs w:val="28"/>
          <w14:textFill>
            <w14:solidFill>
              <w14:schemeClr w14:val="tx1"/>
            </w14:solidFill>
          </w14:textFill>
        </w:rPr>
      </w:pPr>
      <w:r>
        <w:rPr>
          <w:rFonts w:hint="eastAsia" w:hAnsi="华文宋体"/>
          <w:color w:val="000000" w:themeColor="text1"/>
          <w:sz w:val="28"/>
          <w:szCs w:val="28"/>
          <w14:textFill>
            <w14:solidFill>
              <w14:schemeClr w14:val="tx1"/>
            </w14:solidFill>
          </w14:textFill>
        </w:rPr>
        <w:t>由于乙方停止取送车，乙方应对由此产生的货车延期占用费按铁路有关规定进行补偿。</w:t>
      </w:r>
    </w:p>
    <w:p>
      <w:pPr>
        <w:adjustRightInd w:val="0"/>
        <w:spacing w:line="560" w:lineRule="exact"/>
        <w:ind w:firstLine="420" w:firstLineChars="150"/>
        <w:rPr>
          <w:rFonts w:hAnsi="华文宋体"/>
          <w:color w:val="000000" w:themeColor="text1"/>
          <w:sz w:val="28"/>
          <w:szCs w:val="28"/>
          <w14:textFill>
            <w14:solidFill>
              <w14:schemeClr w14:val="tx1"/>
            </w14:solidFill>
          </w14:textFill>
        </w:rPr>
      </w:pPr>
      <w:r>
        <w:rPr>
          <w:rFonts w:hint="eastAsia" w:hAnsi="华文宋体"/>
          <w:color w:val="000000" w:themeColor="text1"/>
          <w:sz w:val="28"/>
          <w:szCs w:val="28"/>
          <w14:textFill>
            <w14:solidFill>
              <w14:schemeClr w14:val="tx1"/>
            </w14:solidFill>
          </w14:textFill>
        </w:rPr>
        <w:t>6.乙方专用线或</w:t>
      </w:r>
      <w:r>
        <w:rPr>
          <w:rFonts w:hAnsi="华文宋体"/>
          <w:color w:val="000000" w:themeColor="text1"/>
          <w:sz w:val="28"/>
          <w:szCs w:val="28"/>
          <w14:textFill>
            <w14:solidFill>
              <w14:schemeClr w14:val="tx1"/>
            </w14:solidFill>
          </w14:textFill>
        </w:rPr>
        <w:t>丙方自装卸过程中</w:t>
      </w:r>
      <w:r>
        <w:rPr>
          <w:rFonts w:hint="eastAsia" w:hAnsi="华文宋体"/>
          <w:color w:val="000000" w:themeColor="text1"/>
          <w:sz w:val="28"/>
          <w:szCs w:val="28"/>
          <w14:textFill>
            <w14:solidFill>
              <w14:schemeClr w14:val="tx1"/>
            </w14:solidFill>
          </w14:textFill>
        </w:rPr>
        <w:t>发生涉铁安全事件或事故的信息,15分钟内须向车站和铁路相关部门报告，并及时补报问题发展和处置的最新动态信息，不得隐瞒或擅自处理。</w:t>
      </w:r>
    </w:p>
    <w:p>
      <w:pPr>
        <w:spacing w:line="370" w:lineRule="exact"/>
        <w:ind w:firstLine="3360" w:firstLineChars="1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（以下无正文）</w:t>
      </w:r>
    </w:p>
    <w:p>
      <w:pPr>
        <w:adjustRightInd w:val="0"/>
        <w:snapToGrid w:val="0"/>
        <w:spacing w:line="370" w:lineRule="exact"/>
        <w:ind w:firstLine="56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br w:type="page"/>
      </w:r>
      <w:r>
        <w:rPr>
          <w:rFonts w:hint="eastAsia"/>
          <w:color w:val="000000" w:themeColor="text1"/>
          <w:sz w:val="28"/>
          <w:szCs w:val="28"/>
          <w14:textFill>
            <w14:solidFill>
              <w14:schemeClr w14:val="tx1"/>
            </w14:solidFill>
          </w14:textFill>
        </w:rPr>
        <w:t xml:space="preserve">    本页无正文，为</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（甲方名称）与</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（乙方名称）与</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（丙方名称）铁路专用线共用协议（协议编号：</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）签署页。</w:t>
      </w:r>
    </w:p>
    <w:p>
      <w:pPr>
        <w:adjustRightInd w:val="0"/>
        <w:snapToGrid w:val="0"/>
        <w:spacing w:line="370" w:lineRule="exact"/>
        <w:ind w:firstLine="560"/>
        <w:rPr>
          <w:color w:val="000000" w:themeColor="text1"/>
          <w:sz w:val="28"/>
          <w:szCs w:val="28"/>
          <w14:textFill>
            <w14:solidFill>
              <w14:schemeClr w14:val="tx1"/>
            </w14:solidFill>
          </w14:textFill>
        </w:rPr>
      </w:pPr>
    </w:p>
    <w:p>
      <w:pPr>
        <w:adjustRightInd w:val="0"/>
        <w:snapToGrid w:val="0"/>
        <w:spacing w:line="370" w:lineRule="exact"/>
        <w:ind w:firstLine="560"/>
        <w:rPr>
          <w:color w:val="000000" w:themeColor="text1"/>
          <w:sz w:val="28"/>
          <w:szCs w:val="28"/>
          <w14:textFill>
            <w14:solidFill>
              <w14:schemeClr w14:val="tx1"/>
            </w14:solidFill>
          </w14:textFill>
        </w:rPr>
      </w:pPr>
    </w:p>
    <w:p>
      <w:pPr>
        <w:adjustRightInd w:val="0"/>
        <w:snapToGrid w:val="0"/>
        <w:spacing w:line="370" w:lineRule="exact"/>
        <w:ind w:firstLine="560"/>
        <w:rPr>
          <w:color w:val="000000" w:themeColor="text1"/>
          <w:sz w:val="28"/>
          <w:szCs w:val="28"/>
          <w14:textFill>
            <w14:solidFill>
              <w14:schemeClr w14:val="tx1"/>
            </w14:solidFill>
          </w14:textFill>
        </w:rPr>
      </w:pPr>
    </w:p>
    <w:p>
      <w:pPr>
        <w:adjustRightInd w:val="0"/>
        <w:snapToGrid w:val="0"/>
        <w:spacing w:line="370" w:lineRule="exact"/>
        <w:ind w:firstLine="560"/>
        <w:rPr>
          <w:color w:val="000000" w:themeColor="text1"/>
          <w:sz w:val="28"/>
          <w:szCs w:val="28"/>
          <w14:textFill>
            <w14:solidFill>
              <w14:schemeClr w14:val="tx1"/>
            </w14:solidFill>
          </w14:textFill>
        </w:rPr>
      </w:pPr>
    </w:p>
    <w:p>
      <w:pPr>
        <w:adjustRightInd w:val="0"/>
        <w:snapToGrid w:val="0"/>
        <w:spacing w:line="370" w:lineRule="exact"/>
        <w:ind w:firstLine="56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甲方：（盖章）                乙方：（盖章）</w:t>
      </w:r>
    </w:p>
    <w:p>
      <w:pPr>
        <w:adjustRightInd w:val="0"/>
        <w:snapToGrid w:val="0"/>
        <w:spacing w:line="370" w:lineRule="exact"/>
        <w:ind w:firstLine="560"/>
        <w:rPr>
          <w:color w:val="000000" w:themeColor="text1"/>
          <w:sz w:val="28"/>
          <w:szCs w:val="28"/>
          <w14:textFill>
            <w14:solidFill>
              <w14:schemeClr w14:val="tx1"/>
            </w14:solidFill>
          </w14:textFill>
        </w:rPr>
      </w:pPr>
    </w:p>
    <w:p>
      <w:pPr>
        <w:adjustRightInd w:val="0"/>
        <w:snapToGrid w:val="0"/>
        <w:spacing w:line="370" w:lineRule="exact"/>
        <w:ind w:firstLine="56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法定代表人（负责人）         法定代表人（负责人）</w:t>
      </w:r>
    </w:p>
    <w:p>
      <w:pPr>
        <w:adjustRightInd w:val="0"/>
        <w:snapToGrid w:val="0"/>
        <w:spacing w:line="370" w:lineRule="exact"/>
        <w:ind w:firstLine="56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或委托代理人                 或委托代理人</w:t>
      </w:r>
    </w:p>
    <w:p>
      <w:pPr>
        <w:adjustRightInd w:val="0"/>
        <w:snapToGrid w:val="0"/>
        <w:spacing w:line="370" w:lineRule="exact"/>
        <w:ind w:firstLine="56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(签字)                       (签字) </w:t>
      </w:r>
    </w:p>
    <w:p>
      <w:pPr>
        <w:adjustRightInd w:val="0"/>
        <w:snapToGrid w:val="0"/>
        <w:spacing w:line="370" w:lineRule="exact"/>
        <w:ind w:firstLine="560"/>
        <w:rPr>
          <w:color w:val="000000" w:themeColor="text1"/>
          <w:sz w:val="28"/>
          <w:szCs w:val="28"/>
          <w14:textFill>
            <w14:solidFill>
              <w14:schemeClr w14:val="tx1"/>
            </w14:solidFill>
          </w14:textFill>
        </w:rPr>
      </w:pPr>
    </w:p>
    <w:p>
      <w:pPr>
        <w:spacing w:line="370" w:lineRule="exact"/>
        <w:ind w:firstLine="56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p>
    <w:p>
      <w:pPr>
        <w:spacing w:line="370" w:lineRule="exact"/>
        <w:ind w:firstLine="560"/>
        <w:rPr>
          <w:color w:val="000000" w:themeColor="text1"/>
          <w:sz w:val="28"/>
          <w:szCs w:val="28"/>
          <w14:textFill>
            <w14:solidFill>
              <w14:schemeClr w14:val="tx1"/>
            </w14:solidFill>
          </w14:textFill>
        </w:rPr>
      </w:pPr>
    </w:p>
    <w:p>
      <w:pPr>
        <w:spacing w:line="370" w:lineRule="exact"/>
        <w:ind w:firstLine="562" w:firstLineChars="201"/>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丙方：（盖章）</w:t>
      </w:r>
    </w:p>
    <w:p>
      <w:pPr>
        <w:spacing w:line="370" w:lineRule="exact"/>
        <w:ind w:firstLine="560"/>
        <w:rPr>
          <w:color w:val="000000" w:themeColor="text1"/>
          <w:sz w:val="28"/>
          <w:szCs w:val="28"/>
          <w14:textFill>
            <w14:solidFill>
              <w14:schemeClr w14:val="tx1"/>
            </w14:solidFill>
          </w14:textFill>
        </w:rPr>
      </w:pPr>
    </w:p>
    <w:p>
      <w:pPr>
        <w:spacing w:line="370" w:lineRule="exact"/>
        <w:ind w:firstLine="562" w:firstLineChars="201"/>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法定代表人（负责人）</w:t>
      </w:r>
    </w:p>
    <w:p>
      <w:pPr>
        <w:spacing w:line="370" w:lineRule="exact"/>
        <w:ind w:firstLine="562" w:firstLineChars="201"/>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或委托代理人</w:t>
      </w:r>
    </w:p>
    <w:p>
      <w:pPr>
        <w:spacing w:line="370" w:lineRule="exact"/>
        <w:ind w:firstLine="562" w:firstLineChars="201"/>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(签字)</w:t>
      </w:r>
    </w:p>
    <w:p>
      <w:pPr>
        <w:ind w:firstLine="480"/>
        <w:rPr>
          <w:color w:val="000000" w:themeColor="text1"/>
          <w14:textFill>
            <w14:solidFill>
              <w14:schemeClr w14:val="tx1"/>
            </w14:solidFill>
          </w14:textFill>
        </w:rPr>
      </w:pPr>
    </w:p>
    <w:p>
      <w:pPr>
        <w:spacing w:line="480" w:lineRule="exact"/>
        <w:ind w:firstLine="560"/>
        <w:jc w:val="both"/>
        <w:rPr>
          <w:rFonts w:ascii="宋体" w:hAnsi="宋体"/>
          <w:color w:val="000000" w:themeColor="text1"/>
          <w:sz w:val="28"/>
          <w:szCs w:val="28"/>
          <w14:textFill>
            <w14:solidFill>
              <w14:schemeClr w14:val="tx1"/>
            </w14:solidFill>
          </w14:textFill>
        </w:rPr>
      </w:pPr>
    </w:p>
    <w:p>
      <w:pPr>
        <w:pStyle w:val="2"/>
      </w:pPr>
    </w:p>
    <w:p>
      <w:pPr>
        <w:pStyle w:val="2"/>
      </w:pPr>
    </w:p>
    <w:p>
      <w:pPr>
        <w:pStyle w:val="2"/>
      </w:pPr>
    </w:p>
    <w:p>
      <w:pPr>
        <w:ind w:firstLine="480"/>
      </w:pPr>
    </w:p>
    <w:sectPr>
      <w:footerReference r:id="rId14" w:type="default"/>
      <w:pgSz w:w="13607" w:h="16840"/>
      <w:pgMar w:top="1440" w:right="1797" w:bottom="1440" w:left="1797" w:header="851" w:footer="992" w:gutter="0"/>
      <w:pgNumType w:fmt="numberInDash"/>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
    <w:altName w:val="Segoe Print"/>
    <w:panose1 w:val="00000000000000000000"/>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3000509000000000000"/>
    <w:charset w:val="86"/>
    <w:family w:val="script"/>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dobe ?? Std R">
    <w:altName w:val="Segoe Print"/>
    <w:panose1 w:val="00000000000000000000"/>
    <w:charset w:val="00"/>
    <w:family w:val="auto"/>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560"/>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1"/>
        <w:szCs w:val="21"/>
      </w:rPr>
      <w:t xml:space="preserve"> 2 </w:t>
    </w:r>
    <w:r>
      <w:rPr>
        <w:rFonts w:ascii="宋体" w:hAnsi="宋体"/>
        <w:sz w:val="28"/>
        <w:szCs w:val="28"/>
      </w:rPr>
      <w:t>-</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outside" w:y="1"/>
      <w:ind w:firstLine="360"/>
      <w:rPr>
        <w:rStyle w:val="37"/>
      </w:rPr>
    </w:pPr>
    <w:r>
      <w:fldChar w:fldCharType="begin"/>
    </w:r>
    <w:r>
      <w:rPr>
        <w:rStyle w:val="37"/>
      </w:rPr>
      <w:instrText xml:space="preserve">PAGE  </w:instrText>
    </w:r>
    <w:r>
      <w:fldChar w:fldCharType="end"/>
    </w:r>
  </w:p>
  <w:p>
    <w:pPr>
      <w:pStyle w:val="1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480"/>
      <w:jc w:val="center"/>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1 -</w:t>
    </w:r>
    <w:r>
      <w:rPr>
        <w:rFonts w:ascii="宋体" w:hAnsi="宋体"/>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560"/>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734060" cy="317500"/>
              <wp:effectExtent l="0" t="0" r="0" b="0"/>
              <wp:wrapNone/>
              <wp:docPr id="4" name="文本框 1025"/>
              <wp:cNvGraphicFramePr/>
              <a:graphic xmlns:a="http://schemas.openxmlformats.org/drawingml/2006/main">
                <a:graphicData uri="http://schemas.microsoft.com/office/word/2010/wordprocessingShape">
                  <wps:wsp>
                    <wps:cNvSpPr txBox="1">
                      <a:spLocks noChangeArrowheads="1"/>
                    </wps:cNvSpPr>
                    <wps:spPr bwMode="auto">
                      <a:xfrm>
                        <a:off x="0" y="0"/>
                        <a:ext cx="734060" cy="317500"/>
                      </a:xfrm>
                      <a:prstGeom prst="rect">
                        <a:avLst/>
                      </a:prstGeom>
                      <a:noFill/>
                      <a:ln>
                        <a:noFill/>
                      </a:ln>
                    </wps:spPr>
                    <wps:txbx>
                      <w:txbxContent>
                        <w:p>
                          <w:pPr>
                            <w:pStyle w:val="19"/>
                            <w:ind w:firstLine="560"/>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1"/>
                              <w:szCs w:val="21"/>
                            </w:rPr>
                            <w:t xml:space="preserve"> 4 </w:t>
                          </w:r>
                          <w:r>
                            <w:rPr>
                              <w:rFonts w:ascii="宋体" w:hAnsi="宋体"/>
                              <w:sz w:val="28"/>
                              <w:szCs w:val="28"/>
                            </w:rPr>
                            <w:t>-</w:t>
                          </w:r>
                          <w:r>
                            <w:rPr>
                              <w:rFonts w:ascii="宋体" w:hAnsi="宋体"/>
                              <w:sz w:val="28"/>
                              <w:szCs w:val="28"/>
                            </w:rPr>
                            <w:fldChar w:fldCharType="end"/>
                          </w:r>
                        </w:p>
                      </w:txbxContent>
                    </wps:txbx>
                    <wps:bodyPr rot="0" vert="horz" wrap="none" lIns="0" tIns="0" rIns="0" bIns="0" anchor="t" anchorCtr="0" upright="1">
                      <a:spAutoFit/>
                    </wps:bodyPr>
                  </wps:wsp>
                </a:graphicData>
              </a:graphic>
            </wp:anchor>
          </w:drawing>
        </mc:Choice>
        <mc:Fallback>
          <w:pict>
            <v:shape id="文本框 1025" o:spid="_x0000_s1026" o:spt="202" type="#_x0000_t202" style="position:absolute;left:0pt;margin-top:0pt;height:25pt;width:57.8pt;mso-position-horizontal:center;mso-position-horizontal-relative:margin;mso-wrap-style:none;z-index:251659264;mso-width-relative:page;mso-height-relative:page;" filled="f" stroked="f" coordsize="21600,21600" o:gfxdata="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&#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b6uzXRAAAABAEAAA8AAAAAAAAAAQAgAAAAIgAAAGRy&#10;cy9kb3ducmV2LnhtbFBLAQIUABQAAAAIAIdO4kA4bUvvDAIAAAUEAAAOAAAAAAAAAAEAIAAAACAB&#10;AABkcnMvZTJvRG9jLnhtbFBLBQYAAAAABgAGAFkBAACeBQAAAAA=&#10;">
              <v:fill on="f" focussize="0,0"/>
              <v:stroke on="f"/>
              <v:imagedata o:title=""/>
              <o:lock v:ext="edit" aspectratio="f"/>
              <v:textbox inset="0mm,0mm,0mm,0mm" style="mso-fit-shape-to-text:t;">
                <w:txbxContent>
                  <w:p>
                    <w:pPr>
                      <w:pStyle w:val="19"/>
                      <w:ind w:firstLine="560"/>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1"/>
                        <w:szCs w:val="21"/>
                      </w:rPr>
                      <w:t xml:space="preserve"> 4 </w:t>
                    </w:r>
                    <w:r>
                      <w:rPr>
                        <w:rFonts w:ascii="宋体" w:hAnsi="宋体"/>
                        <w:sz w:val="28"/>
                        <w:szCs w:val="28"/>
                      </w:rPr>
                      <w:t>-</w:t>
                    </w:r>
                    <w:r>
                      <w:rPr>
                        <w:rFonts w:ascii="宋体" w:hAnsi="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480"/>
      <w:jc w:val="center"/>
      <w:rPr>
        <w:rFonts w:ascii="宋体" w:hAnsi="宋体"/>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86435" cy="317500"/>
              <wp:effectExtent l="0" t="0" r="0" b="0"/>
              <wp:wrapNone/>
              <wp:docPr id="3" name="文本框 1026"/>
              <wp:cNvGraphicFramePr/>
              <a:graphic xmlns:a="http://schemas.openxmlformats.org/drawingml/2006/main">
                <a:graphicData uri="http://schemas.microsoft.com/office/word/2010/wordprocessingShape">
                  <wps:wsp>
                    <wps:cNvSpPr txBox="1">
                      <a:spLocks noChangeArrowheads="1"/>
                    </wps:cNvSpPr>
                    <wps:spPr bwMode="auto">
                      <a:xfrm>
                        <a:off x="0" y="0"/>
                        <a:ext cx="686435" cy="317500"/>
                      </a:xfrm>
                      <a:prstGeom prst="rect">
                        <a:avLst/>
                      </a:prstGeom>
                      <a:noFill/>
                      <a:ln>
                        <a:noFill/>
                      </a:ln>
                    </wps:spPr>
                    <wps:txbx>
                      <w:txbxContent>
                        <w:p>
                          <w:pPr>
                            <w:pStyle w:val="19"/>
                            <w:ind w:firstLine="480"/>
                            <w:jc w:val="cente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19 -</w:t>
                          </w:r>
                          <w:r>
                            <w:rPr>
                              <w:rFonts w:ascii="宋体" w:hAnsi="宋体"/>
                              <w:sz w:val="24"/>
                              <w:szCs w:val="24"/>
                            </w:rPr>
                            <w:fldChar w:fldCharType="end"/>
                          </w:r>
                        </w:p>
                      </w:txbxContent>
                    </wps:txbx>
                    <wps:bodyPr rot="0" vert="horz" wrap="none" lIns="0" tIns="0" rIns="0" bIns="0" anchor="t" anchorCtr="0" upright="1">
                      <a:spAutoFit/>
                    </wps:bodyPr>
                  </wps:wsp>
                </a:graphicData>
              </a:graphic>
            </wp:anchor>
          </w:drawing>
        </mc:Choice>
        <mc:Fallback>
          <w:pict>
            <v:shape id="文本框 1026" o:spid="_x0000_s1026" o:spt="202" type="#_x0000_t202" style="position:absolute;left:0pt;margin-top:0pt;height:25pt;width:54.05pt;mso-position-horizontal:center;mso-position-horizontal-relative:margin;mso-wrap-style:none;z-index:251660288;mso-width-relative:page;mso-height-relative:page;" filled="f" stroked="f" coordsize="21600,21600" o:gfxdata="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1hKSO0AAAAAQBAAAPAAAAAAAAAAEAIAAAACIAAABk&#10;cnMvZG93bnJldi54bWxQSwECFAAUAAAACACHTuJAU8cRiQ4CAAAFBAAADgAAAAAAAAABACAAAAAf&#10;AQAAZHJzL2Uyb0RvYy54bWxQSwUGAAAAAAYABgBZAQAAnwUAAAAA&#10;">
              <v:fill on="f" focussize="0,0"/>
              <v:stroke on="f"/>
              <v:imagedata o:title=""/>
              <o:lock v:ext="edit" aspectratio="f"/>
              <v:textbox inset="0mm,0mm,0mm,0mm" style="mso-fit-shape-to-text:t;">
                <w:txbxContent>
                  <w:p>
                    <w:pPr>
                      <w:pStyle w:val="19"/>
                      <w:ind w:firstLine="480"/>
                      <w:jc w:val="cente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19 -</w:t>
                    </w:r>
                    <w:r>
                      <w:rPr>
                        <w:rFonts w:ascii="宋体" w:hAnsi="宋体"/>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640"/>
      <w:jc w:val="center"/>
      <w:rPr>
        <w:rFonts w:ascii="宋体" w:hAnsi="宋体"/>
        <w:sz w:val="32"/>
        <w:szCs w:val="32"/>
      </w:rPr>
    </w:pPr>
    <w:r>
      <w:rPr>
        <w:sz w:val="3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016635" cy="317500"/>
              <wp:effectExtent l="0" t="0" r="0" b="0"/>
              <wp:wrapNone/>
              <wp:docPr id="2" name="文本框 1027"/>
              <wp:cNvGraphicFramePr/>
              <a:graphic xmlns:a="http://schemas.openxmlformats.org/drawingml/2006/main">
                <a:graphicData uri="http://schemas.microsoft.com/office/word/2010/wordprocessingShape">
                  <wps:wsp>
                    <wps:cNvSpPr txBox="1">
                      <a:spLocks noChangeArrowheads="1"/>
                    </wps:cNvSpPr>
                    <wps:spPr bwMode="auto">
                      <a:xfrm>
                        <a:off x="0" y="0"/>
                        <a:ext cx="1016635" cy="317500"/>
                      </a:xfrm>
                      <a:prstGeom prst="rect">
                        <a:avLst/>
                      </a:prstGeom>
                      <a:noFill/>
                      <a:ln>
                        <a:noFill/>
                      </a:ln>
                    </wps:spPr>
                    <wps:txbx>
                      <w:txbxContent>
                        <w:p>
                          <w:pPr>
                            <w:pStyle w:val="19"/>
                            <w:ind w:firstLine="640"/>
                            <w:jc w:val="center"/>
                          </w:pPr>
                          <w:r>
                            <w:rPr>
                              <w:rFonts w:ascii="宋体" w:hAnsi="宋体"/>
                              <w:sz w:val="32"/>
                              <w:szCs w:val="32"/>
                            </w:rPr>
                            <w:fldChar w:fldCharType="begin"/>
                          </w:r>
                          <w:r>
                            <w:rPr>
                              <w:rFonts w:ascii="宋体" w:hAnsi="宋体"/>
                              <w:sz w:val="32"/>
                              <w:szCs w:val="32"/>
                            </w:rPr>
                            <w:instrText xml:space="preserve"> PAGE   \* MERGEFORMAT </w:instrText>
                          </w:r>
                          <w:r>
                            <w:rPr>
                              <w:rFonts w:ascii="宋体" w:hAnsi="宋体"/>
                              <w:sz w:val="32"/>
                              <w:szCs w:val="32"/>
                            </w:rPr>
                            <w:fldChar w:fldCharType="separate"/>
                          </w:r>
                          <w:r>
                            <w:rPr>
                              <w:rFonts w:ascii="宋体" w:hAnsi="宋体"/>
                              <w:sz w:val="32"/>
                              <w:szCs w:val="32"/>
                              <w:lang w:val="zh-CN"/>
                            </w:rPr>
                            <w:t>-</w:t>
                          </w:r>
                          <w:r>
                            <w:rPr>
                              <w:rFonts w:ascii="宋体" w:hAnsi="宋体"/>
                              <w:sz w:val="32"/>
                              <w:szCs w:val="32"/>
                            </w:rPr>
                            <w:t xml:space="preserve"> 27 -</w:t>
                          </w:r>
                          <w:r>
                            <w:rPr>
                              <w:rFonts w:ascii="宋体" w:hAnsi="宋体"/>
                              <w:sz w:val="32"/>
                              <w:szCs w:val="32"/>
                            </w:rPr>
                            <w:fldChar w:fldCharType="end"/>
                          </w:r>
                        </w:p>
                      </w:txbxContent>
                    </wps:txbx>
                    <wps:bodyPr rot="0" vert="horz" wrap="none" lIns="0" tIns="0" rIns="0" bIns="0" anchor="t" anchorCtr="0" upright="1">
                      <a:spAutoFit/>
                    </wps:bodyPr>
                  </wps:wsp>
                </a:graphicData>
              </a:graphic>
            </wp:anchor>
          </w:drawing>
        </mc:Choice>
        <mc:Fallback>
          <w:pict>
            <v:shape id="文本框 1027" o:spid="_x0000_s1026" o:spt="202" type="#_x0000_t202" style="position:absolute;left:0pt;margin-top:0pt;height:25pt;width:80.05pt;mso-position-horizontal:center;mso-position-horizontal-relative:margin;mso-wrap-style:none;z-index:251661312;mso-width-relative:page;mso-height-relative:page;" filled="f" stroked="f" coordsize="21600,21600" o:gfxdata="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LxqEtEAAAAEAQAADwAAAAAAAAABACAAAAAiAAAA&#10;ZHJzL2Rvd25yZXYueG1sUEsBAhQAFAAAAAgAh07iQKD/+2MOAgAABgQAAA4AAAAAAAAAAQAgAAAA&#10;IAEAAGRycy9lMm9Eb2MueG1sUEsFBgAAAAAGAAYAWQEAAKAFAAAAAA==&#10;">
              <v:fill on="f" focussize="0,0"/>
              <v:stroke on="f"/>
              <v:imagedata o:title=""/>
              <o:lock v:ext="edit" aspectratio="f"/>
              <v:textbox inset="0mm,0mm,0mm,0mm" style="mso-fit-shape-to-text:t;">
                <w:txbxContent>
                  <w:p>
                    <w:pPr>
                      <w:pStyle w:val="19"/>
                      <w:ind w:firstLine="640"/>
                      <w:jc w:val="center"/>
                    </w:pPr>
                    <w:r>
                      <w:rPr>
                        <w:rFonts w:ascii="宋体" w:hAnsi="宋体"/>
                        <w:sz w:val="32"/>
                        <w:szCs w:val="32"/>
                      </w:rPr>
                      <w:fldChar w:fldCharType="begin"/>
                    </w:r>
                    <w:r>
                      <w:rPr>
                        <w:rFonts w:ascii="宋体" w:hAnsi="宋体"/>
                        <w:sz w:val="32"/>
                        <w:szCs w:val="32"/>
                      </w:rPr>
                      <w:instrText xml:space="preserve"> PAGE   \* MERGEFORMAT </w:instrText>
                    </w:r>
                    <w:r>
                      <w:rPr>
                        <w:rFonts w:ascii="宋体" w:hAnsi="宋体"/>
                        <w:sz w:val="32"/>
                        <w:szCs w:val="32"/>
                      </w:rPr>
                      <w:fldChar w:fldCharType="separate"/>
                    </w:r>
                    <w:r>
                      <w:rPr>
                        <w:rFonts w:ascii="宋体" w:hAnsi="宋体"/>
                        <w:sz w:val="32"/>
                        <w:szCs w:val="32"/>
                        <w:lang w:val="zh-CN"/>
                      </w:rPr>
                      <w:t>-</w:t>
                    </w:r>
                    <w:r>
                      <w:rPr>
                        <w:rFonts w:ascii="宋体" w:hAnsi="宋体"/>
                        <w:sz w:val="32"/>
                        <w:szCs w:val="32"/>
                      </w:rPr>
                      <w:t xml:space="preserve"> 27 -</w:t>
                    </w:r>
                    <w:r>
                      <w:rPr>
                        <w:rFonts w:ascii="宋体" w:hAnsi="宋体"/>
                        <w:sz w:val="32"/>
                        <w:szCs w:val="32"/>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560"/>
      <w:jc w:val="center"/>
      <w:rPr>
        <w:rFonts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889635" cy="317500"/>
              <wp:effectExtent l="0" t="0" r="0" b="0"/>
              <wp:wrapNone/>
              <wp:docPr id="1" name="文本框 1028"/>
              <wp:cNvGraphicFramePr/>
              <a:graphic xmlns:a="http://schemas.openxmlformats.org/drawingml/2006/main">
                <a:graphicData uri="http://schemas.microsoft.com/office/word/2010/wordprocessingShape">
                  <wps:wsp>
                    <wps:cNvSpPr txBox="1">
                      <a:spLocks noChangeArrowheads="1"/>
                    </wps:cNvSpPr>
                    <wps:spPr bwMode="auto">
                      <a:xfrm>
                        <a:off x="0" y="0"/>
                        <a:ext cx="889635" cy="317500"/>
                      </a:xfrm>
                      <a:prstGeom prst="rect">
                        <a:avLst/>
                      </a:prstGeom>
                      <a:noFill/>
                      <a:ln>
                        <a:noFill/>
                      </a:ln>
                    </wps:spPr>
                    <wps:txbx>
                      <w:txbxContent>
                        <w:p>
                          <w:pPr>
                            <w:pStyle w:val="19"/>
                            <w:ind w:firstLine="560"/>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35 -</w:t>
                          </w:r>
                          <w:r>
                            <w:rPr>
                              <w:rFonts w:ascii="宋体" w:hAnsi="宋体"/>
                              <w:sz w:val="28"/>
                              <w:szCs w:val="28"/>
                            </w:rPr>
                            <w:fldChar w:fldCharType="end"/>
                          </w:r>
                        </w:p>
                      </w:txbxContent>
                    </wps:txbx>
                    <wps:bodyPr rot="0" vert="horz" wrap="none" lIns="0" tIns="0" rIns="0" bIns="0" anchor="t" anchorCtr="0" upright="1">
                      <a:spAutoFit/>
                    </wps:bodyPr>
                  </wps:wsp>
                </a:graphicData>
              </a:graphic>
            </wp:anchor>
          </w:drawing>
        </mc:Choice>
        <mc:Fallback>
          <w:pict>
            <v:shape id="文本框 1028" o:spid="_x0000_s1026" o:spt="202" type="#_x0000_t202" style="position:absolute;left:0pt;margin-top:0pt;height:25pt;width:70.05pt;mso-position-horizontal:center;mso-position-horizontal-relative:margin;mso-wrap-style:none;z-index:251662336;mso-width-relative:page;mso-height-relative:page;" filled="f" stroked="f" coordsize="21600,21600" o:gfxdata="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MDmXU0QAAAAQBAAAPAAAAAAAAAAEAIAAAACIAAABk&#10;cnMvZG93bnJldi54bWxQSwECFAAUAAAACACHTuJAVSSIIw0CAAAFBAAADgAAAAAAAAABACAAAAAg&#10;AQAAZHJzL2Uyb0RvYy54bWxQSwUGAAAAAAYABgBZAQAAnwUAAAAA&#10;">
              <v:fill on="f" focussize="0,0"/>
              <v:stroke on="f"/>
              <v:imagedata o:title=""/>
              <o:lock v:ext="edit" aspectratio="f"/>
              <v:textbox inset="0mm,0mm,0mm,0mm" style="mso-fit-shape-to-text:t;">
                <w:txbxContent>
                  <w:p>
                    <w:pPr>
                      <w:pStyle w:val="19"/>
                      <w:ind w:firstLine="560"/>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35 -</w:t>
                    </w:r>
                    <w:r>
                      <w:rPr>
                        <w:rFonts w:ascii="宋体" w:hAnsi="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DA7738"/>
    <w:multiLevelType w:val="singleLevel"/>
    <w:tmpl w:val="95DA7738"/>
    <w:lvl w:ilvl="0" w:tentative="0">
      <w:start w:val="2"/>
      <w:numFmt w:val="decimal"/>
      <w:lvlText w:val="%1."/>
      <w:lvlJc w:val="left"/>
      <w:pPr>
        <w:tabs>
          <w:tab w:val="left" w:pos="312"/>
        </w:tabs>
      </w:pPr>
    </w:lvl>
  </w:abstractNum>
  <w:abstractNum w:abstractNumId="1">
    <w:nsid w:val="067E4738"/>
    <w:multiLevelType w:val="multilevel"/>
    <w:tmpl w:val="067E4738"/>
    <w:lvl w:ilvl="0" w:tentative="0">
      <w:start w:val="1"/>
      <w:numFmt w:val="japaneseCounting"/>
      <w:lvlText w:val="（%1）"/>
      <w:lvlJc w:val="left"/>
      <w:pPr>
        <w:ind w:left="1878" w:hanging="885"/>
      </w:pPr>
      <w:rPr>
        <w:rFonts w:hint="default"/>
        <w:lang w:val="en-U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decimal"/>
      <w:pStyle w:val="68"/>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5A95F43D"/>
    <w:multiLevelType w:val="singleLevel"/>
    <w:tmpl w:val="5A95F43D"/>
    <w:lvl w:ilvl="0" w:tentative="0">
      <w:start w:val="5"/>
      <w:numFmt w:val="chineseCounting"/>
      <w:suff w:val="space"/>
      <w:lvlText w:val="第%1条"/>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AxYWI0YTNhMGIwZDcyNDBiNmIwOWM5NTBlNWE5MWQifQ=="/>
  </w:docVars>
  <w:rsids>
    <w:rsidRoot w:val="007C12CC"/>
    <w:rsid w:val="00001660"/>
    <w:rsid w:val="00004B89"/>
    <w:rsid w:val="00005A63"/>
    <w:rsid w:val="000108A6"/>
    <w:rsid w:val="00011007"/>
    <w:rsid w:val="00011F27"/>
    <w:rsid w:val="00013385"/>
    <w:rsid w:val="0001438F"/>
    <w:rsid w:val="00014483"/>
    <w:rsid w:val="00015AD4"/>
    <w:rsid w:val="000176E8"/>
    <w:rsid w:val="00020EDC"/>
    <w:rsid w:val="000210A2"/>
    <w:rsid w:val="00021243"/>
    <w:rsid w:val="00021F2A"/>
    <w:rsid w:val="00022084"/>
    <w:rsid w:val="000222FA"/>
    <w:rsid w:val="0002293A"/>
    <w:rsid w:val="00023E17"/>
    <w:rsid w:val="000246A1"/>
    <w:rsid w:val="00024A16"/>
    <w:rsid w:val="000267EF"/>
    <w:rsid w:val="00026E80"/>
    <w:rsid w:val="00030DE6"/>
    <w:rsid w:val="00031286"/>
    <w:rsid w:val="00031558"/>
    <w:rsid w:val="00032335"/>
    <w:rsid w:val="00032783"/>
    <w:rsid w:val="0003310D"/>
    <w:rsid w:val="00035009"/>
    <w:rsid w:val="00035948"/>
    <w:rsid w:val="000408C4"/>
    <w:rsid w:val="00041FE4"/>
    <w:rsid w:val="000451F8"/>
    <w:rsid w:val="000462B4"/>
    <w:rsid w:val="00046697"/>
    <w:rsid w:val="0004677D"/>
    <w:rsid w:val="000477E2"/>
    <w:rsid w:val="00047873"/>
    <w:rsid w:val="00050590"/>
    <w:rsid w:val="00051366"/>
    <w:rsid w:val="000523DF"/>
    <w:rsid w:val="000526C6"/>
    <w:rsid w:val="00052839"/>
    <w:rsid w:val="00052B12"/>
    <w:rsid w:val="00053337"/>
    <w:rsid w:val="00054BA4"/>
    <w:rsid w:val="00054DA5"/>
    <w:rsid w:val="00055034"/>
    <w:rsid w:val="00055C21"/>
    <w:rsid w:val="000567A9"/>
    <w:rsid w:val="00056979"/>
    <w:rsid w:val="00057397"/>
    <w:rsid w:val="00061464"/>
    <w:rsid w:val="000617BB"/>
    <w:rsid w:val="0006243C"/>
    <w:rsid w:val="0006264C"/>
    <w:rsid w:val="00062BE8"/>
    <w:rsid w:val="000657E0"/>
    <w:rsid w:val="0006634F"/>
    <w:rsid w:val="0006738D"/>
    <w:rsid w:val="000722F2"/>
    <w:rsid w:val="000727F2"/>
    <w:rsid w:val="000731F0"/>
    <w:rsid w:val="000739F4"/>
    <w:rsid w:val="00073B7E"/>
    <w:rsid w:val="00074138"/>
    <w:rsid w:val="000743DD"/>
    <w:rsid w:val="00074862"/>
    <w:rsid w:val="0007588A"/>
    <w:rsid w:val="00077FE8"/>
    <w:rsid w:val="00081A37"/>
    <w:rsid w:val="00082B75"/>
    <w:rsid w:val="000834B0"/>
    <w:rsid w:val="000839BF"/>
    <w:rsid w:val="00084183"/>
    <w:rsid w:val="0008602F"/>
    <w:rsid w:val="000867B4"/>
    <w:rsid w:val="00086A4E"/>
    <w:rsid w:val="00090600"/>
    <w:rsid w:val="00090A00"/>
    <w:rsid w:val="00092B4C"/>
    <w:rsid w:val="000932AA"/>
    <w:rsid w:val="00093ABA"/>
    <w:rsid w:val="000958DC"/>
    <w:rsid w:val="000962DA"/>
    <w:rsid w:val="000A1518"/>
    <w:rsid w:val="000A1D01"/>
    <w:rsid w:val="000A268D"/>
    <w:rsid w:val="000A2A84"/>
    <w:rsid w:val="000A32C6"/>
    <w:rsid w:val="000A3D02"/>
    <w:rsid w:val="000A3D83"/>
    <w:rsid w:val="000A4196"/>
    <w:rsid w:val="000A42C7"/>
    <w:rsid w:val="000A4B2E"/>
    <w:rsid w:val="000A4EA5"/>
    <w:rsid w:val="000A5670"/>
    <w:rsid w:val="000A7857"/>
    <w:rsid w:val="000A7DDD"/>
    <w:rsid w:val="000B07DD"/>
    <w:rsid w:val="000B0E0C"/>
    <w:rsid w:val="000B0F4B"/>
    <w:rsid w:val="000B1C2C"/>
    <w:rsid w:val="000B58C4"/>
    <w:rsid w:val="000B63F3"/>
    <w:rsid w:val="000B6E10"/>
    <w:rsid w:val="000B7FD8"/>
    <w:rsid w:val="000C00DD"/>
    <w:rsid w:val="000C0146"/>
    <w:rsid w:val="000C22DB"/>
    <w:rsid w:val="000C2EFC"/>
    <w:rsid w:val="000C3B13"/>
    <w:rsid w:val="000C405E"/>
    <w:rsid w:val="000C4129"/>
    <w:rsid w:val="000C4762"/>
    <w:rsid w:val="000C562F"/>
    <w:rsid w:val="000C5D2D"/>
    <w:rsid w:val="000C5FC0"/>
    <w:rsid w:val="000D03B4"/>
    <w:rsid w:val="000D0F0A"/>
    <w:rsid w:val="000D1294"/>
    <w:rsid w:val="000D1724"/>
    <w:rsid w:val="000D270D"/>
    <w:rsid w:val="000D319D"/>
    <w:rsid w:val="000D4073"/>
    <w:rsid w:val="000D4D46"/>
    <w:rsid w:val="000D4EFB"/>
    <w:rsid w:val="000D6208"/>
    <w:rsid w:val="000D6385"/>
    <w:rsid w:val="000D705A"/>
    <w:rsid w:val="000D710C"/>
    <w:rsid w:val="000E0A69"/>
    <w:rsid w:val="000E3D96"/>
    <w:rsid w:val="000E4E20"/>
    <w:rsid w:val="000E583C"/>
    <w:rsid w:val="000E6476"/>
    <w:rsid w:val="000E694F"/>
    <w:rsid w:val="000E6CD7"/>
    <w:rsid w:val="000F422B"/>
    <w:rsid w:val="000F45A9"/>
    <w:rsid w:val="000F6854"/>
    <w:rsid w:val="00100467"/>
    <w:rsid w:val="00100B7D"/>
    <w:rsid w:val="00100C85"/>
    <w:rsid w:val="00100FCD"/>
    <w:rsid w:val="0010167E"/>
    <w:rsid w:val="00101CB5"/>
    <w:rsid w:val="001033D2"/>
    <w:rsid w:val="0010448F"/>
    <w:rsid w:val="00105014"/>
    <w:rsid w:val="00105C68"/>
    <w:rsid w:val="0010666F"/>
    <w:rsid w:val="00107497"/>
    <w:rsid w:val="001114EB"/>
    <w:rsid w:val="001116C7"/>
    <w:rsid w:val="00111F41"/>
    <w:rsid w:val="00112C82"/>
    <w:rsid w:val="00114DE5"/>
    <w:rsid w:val="00114EBA"/>
    <w:rsid w:val="001150A5"/>
    <w:rsid w:val="0012020D"/>
    <w:rsid w:val="001212C2"/>
    <w:rsid w:val="001215F4"/>
    <w:rsid w:val="0012276E"/>
    <w:rsid w:val="001239E7"/>
    <w:rsid w:val="00123D61"/>
    <w:rsid w:val="00123E53"/>
    <w:rsid w:val="00123FC0"/>
    <w:rsid w:val="00125B0C"/>
    <w:rsid w:val="00126265"/>
    <w:rsid w:val="00126D87"/>
    <w:rsid w:val="00130E7E"/>
    <w:rsid w:val="00131F14"/>
    <w:rsid w:val="001329EB"/>
    <w:rsid w:val="00133945"/>
    <w:rsid w:val="001345C8"/>
    <w:rsid w:val="0013590F"/>
    <w:rsid w:val="00136261"/>
    <w:rsid w:val="00136485"/>
    <w:rsid w:val="00136D53"/>
    <w:rsid w:val="00137365"/>
    <w:rsid w:val="00137948"/>
    <w:rsid w:val="00140540"/>
    <w:rsid w:val="00141A54"/>
    <w:rsid w:val="00142470"/>
    <w:rsid w:val="0014425B"/>
    <w:rsid w:val="001451F2"/>
    <w:rsid w:val="001464DD"/>
    <w:rsid w:val="001500D3"/>
    <w:rsid w:val="00150BFF"/>
    <w:rsid w:val="00151441"/>
    <w:rsid w:val="00152074"/>
    <w:rsid w:val="001531AB"/>
    <w:rsid w:val="00153D4C"/>
    <w:rsid w:val="00154942"/>
    <w:rsid w:val="0015550E"/>
    <w:rsid w:val="00156466"/>
    <w:rsid w:val="00156D44"/>
    <w:rsid w:val="001575FD"/>
    <w:rsid w:val="00161AEF"/>
    <w:rsid w:val="00162078"/>
    <w:rsid w:val="0016341A"/>
    <w:rsid w:val="001648CD"/>
    <w:rsid w:val="001652F8"/>
    <w:rsid w:val="00165833"/>
    <w:rsid w:val="001672C2"/>
    <w:rsid w:val="00167ED2"/>
    <w:rsid w:val="00170C8C"/>
    <w:rsid w:val="001746B3"/>
    <w:rsid w:val="00175AEB"/>
    <w:rsid w:val="001763A5"/>
    <w:rsid w:val="0018215C"/>
    <w:rsid w:val="001836F5"/>
    <w:rsid w:val="0018382C"/>
    <w:rsid w:val="0018390E"/>
    <w:rsid w:val="00183F9B"/>
    <w:rsid w:val="00185A39"/>
    <w:rsid w:val="00185F2C"/>
    <w:rsid w:val="001865FB"/>
    <w:rsid w:val="00186A43"/>
    <w:rsid w:val="00186AEA"/>
    <w:rsid w:val="001876EA"/>
    <w:rsid w:val="00187C36"/>
    <w:rsid w:val="00187D88"/>
    <w:rsid w:val="0019037D"/>
    <w:rsid w:val="00191B72"/>
    <w:rsid w:val="00193802"/>
    <w:rsid w:val="00193E56"/>
    <w:rsid w:val="001961BF"/>
    <w:rsid w:val="00196A94"/>
    <w:rsid w:val="00196B7A"/>
    <w:rsid w:val="001974BF"/>
    <w:rsid w:val="0019756E"/>
    <w:rsid w:val="001A0BE4"/>
    <w:rsid w:val="001A0D0F"/>
    <w:rsid w:val="001A0DA6"/>
    <w:rsid w:val="001A1719"/>
    <w:rsid w:val="001A41BC"/>
    <w:rsid w:val="001A4D34"/>
    <w:rsid w:val="001A67F1"/>
    <w:rsid w:val="001A761A"/>
    <w:rsid w:val="001B053F"/>
    <w:rsid w:val="001B0F67"/>
    <w:rsid w:val="001B1F0F"/>
    <w:rsid w:val="001B22E9"/>
    <w:rsid w:val="001B334A"/>
    <w:rsid w:val="001B3E78"/>
    <w:rsid w:val="001B4B2D"/>
    <w:rsid w:val="001C2CAE"/>
    <w:rsid w:val="001C2F37"/>
    <w:rsid w:val="001C4A5B"/>
    <w:rsid w:val="001C4CF9"/>
    <w:rsid w:val="001C5AF6"/>
    <w:rsid w:val="001D0F62"/>
    <w:rsid w:val="001D2331"/>
    <w:rsid w:val="001D3913"/>
    <w:rsid w:val="001D63A1"/>
    <w:rsid w:val="001E0521"/>
    <w:rsid w:val="001E0CB9"/>
    <w:rsid w:val="001E148C"/>
    <w:rsid w:val="001E3B05"/>
    <w:rsid w:val="001E5BB0"/>
    <w:rsid w:val="001E6097"/>
    <w:rsid w:val="001E6858"/>
    <w:rsid w:val="001E69A2"/>
    <w:rsid w:val="001E6EBF"/>
    <w:rsid w:val="001E6EC9"/>
    <w:rsid w:val="001E6EF9"/>
    <w:rsid w:val="001F035E"/>
    <w:rsid w:val="001F1E7D"/>
    <w:rsid w:val="001F2E29"/>
    <w:rsid w:val="001F4557"/>
    <w:rsid w:val="001F492D"/>
    <w:rsid w:val="001F57D4"/>
    <w:rsid w:val="001F64F5"/>
    <w:rsid w:val="001F6CF7"/>
    <w:rsid w:val="001F79FC"/>
    <w:rsid w:val="001F7DBD"/>
    <w:rsid w:val="00203068"/>
    <w:rsid w:val="00205336"/>
    <w:rsid w:val="00206D18"/>
    <w:rsid w:val="0021013C"/>
    <w:rsid w:val="00210738"/>
    <w:rsid w:val="002120D0"/>
    <w:rsid w:val="002121BD"/>
    <w:rsid w:val="002125E6"/>
    <w:rsid w:val="00214F64"/>
    <w:rsid w:val="00215638"/>
    <w:rsid w:val="0021668E"/>
    <w:rsid w:val="00220283"/>
    <w:rsid w:val="00223711"/>
    <w:rsid w:val="00224333"/>
    <w:rsid w:val="00224CDC"/>
    <w:rsid w:val="00225B20"/>
    <w:rsid w:val="002270B2"/>
    <w:rsid w:val="00230304"/>
    <w:rsid w:val="00230D10"/>
    <w:rsid w:val="002320BC"/>
    <w:rsid w:val="002332EA"/>
    <w:rsid w:val="002342C9"/>
    <w:rsid w:val="00235E6F"/>
    <w:rsid w:val="00241AF6"/>
    <w:rsid w:val="00242277"/>
    <w:rsid w:val="00244015"/>
    <w:rsid w:val="0024529B"/>
    <w:rsid w:val="00245664"/>
    <w:rsid w:val="00245E6C"/>
    <w:rsid w:val="002470DA"/>
    <w:rsid w:val="0025006F"/>
    <w:rsid w:val="00250692"/>
    <w:rsid w:val="002509D0"/>
    <w:rsid w:val="002510B3"/>
    <w:rsid w:val="00252DDB"/>
    <w:rsid w:val="0025359C"/>
    <w:rsid w:val="00254133"/>
    <w:rsid w:val="002554B2"/>
    <w:rsid w:val="00255D4B"/>
    <w:rsid w:val="00257CE6"/>
    <w:rsid w:val="00257FA1"/>
    <w:rsid w:val="00262A61"/>
    <w:rsid w:val="00263B9A"/>
    <w:rsid w:val="00265867"/>
    <w:rsid w:val="00265F18"/>
    <w:rsid w:val="002665C5"/>
    <w:rsid w:val="002703E3"/>
    <w:rsid w:val="00272326"/>
    <w:rsid w:val="0027252A"/>
    <w:rsid w:val="00277B58"/>
    <w:rsid w:val="00280D8F"/>
    <w:rsid w:val="00281347"/>
    <w:rsid w:val="00283710"/>
    <w:rsid w:val="002857AA"/>
    <w:rsid w:val="0029048E"/>
    <w:rsid w:val="00290AEB"/>
    <w:rsid w:val="00291539"/>
    <w:rsid w:val="00292632"/>
    <w:rsid w:val="00292C90"/>
    <w:rsid w:val="00294A31"/>
    <w:rsid w:val="00294EBC"/>
    <w:rsid w:val="00295361"/>
    <w:rsid w:val="002958CE"/>
    <w:rsid w:val="0029626C"/>
    <w:rsid w:val="00297B8B"/>
    <w:rsid w:val="00297D0C"/>
    <w:rsid w:val="002A0B7A"/>
    <w:rsid w:val="002A0C3D"/>
    <w:rsid w:val="002A0C82"/>
    <w:rsid w:val="002A0DA8"/>
    <w:rsid w:val="002A1E56"/>
    <w:rsid w:val="002A4317"/>
    <w:rsid w:val="002A4A74"/>
    <w:rsid w:val="002A7D03"/>
    <w:rsid w:val="002B067F"/>
    <w:rsid w:val="002B06DF"/>
    <w:rsid w:val="002B0F96"/>
    <w:rsid w:val="002B1EFB"/>
    <w:rsid w:val="002B2DF9"/>
    <w:rsid w:val="002B3263"/>
    <w:rsid w:val="002B3FE9"/>
    <w:rsid w:val="002B4920"/>
    <w:rsid w:val="002B5EB0"/>
    <w:rsid w:val="002B6D25"/>
    <w:rsid w:val="002B7D1D"/>
    <w:rsid w:val="002C0169"/>
    <w:rsid w:val="002C0185"/>
    <w:rsid w:val="002C0964"/>
    <w:rsid w:val="002C1711"/>
    <w:rsid w:val="002C2154"/>
    <w:rsid w:val="002C3905"/>
    <w:rsid w:val="002C4643"/>
    <w:rsid w:val="002C6124"/>
    <w:rsid w:val="002C67ED"/>
    <w:rsid w:val="002C6D76"/>
    <w:rsid w:val="002C7DDE"/>
    <w:rsid w:val="002D18AB"/>
    <w:rsid w:val="002D2A3C"/>
    <w:rsid w:val="002D44CE"/>
    <w:rsid w:val="002D5D7E"/>
    <w:rsid w:val="002D6435"/>
    <w:rsid w:val="002D73AE"/>
    <w:rsid w:val="002E1456"/>
    <w:rsid w:val="002E2016"/>
    <w:rsid w:val="002E372F"/>
    <w:rsid w:val="002E38A1"/>
    <w:rsid w:val="002E539D"/>
    <w:rsid w:val="002E53EC"/>
    <w:rsid w:val="002E73A3"/>
    <w:rsid w:val="002E7B45"/>
    <w:rsid w:val="002F0D48"/>
    <w:rsid w:val="002F1AAA"/>
    <w:rsid w:val="002F3919"/>
    <w:rsid w:val="002F4A81"/>
    <w:rsid w:val="002F5A38"/>
    <w:rsid w:val="002F797B"/>
    <w:rsid w:val="00301FC4"/>
    <w:rsid w:val="00302602"/>
    <w:rsid w:val="0030262F"/>
    <w:rsid w:val="00303C8B"/>
    <w:rsid w:val="003041F9"/>
    <w:rsid w:val="00306772"/>
    <w:rsid w:val="00306A59"/>
    <w:rsid w:val="00306EED"/>
    <w:rsid w:val="00306F89"/>
    <w:rsid w:val="00311669"/>
    <w:rsid w:val="0031253B"/>
    <w:rsid w:val="00314009"/>
    <w:rsid w:val="00315A72"/>
    <w:rsid w:val="0031795E"/>
    <w:rsid w:val="00321BCE"/>
    <w:rsid w:val="003230A0"/>
    <w:rsid w:val="00323546"/>
    <w:rsid w:val="0032451F"/>
    <w:rsid w:val="003245A1"/>
    <w:rsid w:val="003253FE"/>
    <w:rsid w:val="00327B03"/>
    <w:rsid w:val="00331FC6"/>
    <w:rsid w:val="0033261E"/>
    <w:rsid w:val="003331D2"/>
    <w:rsid w:val="003348B2"/>
    <w:rsid w:val="00334A11"/>
    <w:rsid w:val="00335BD1"/>
    <w:rsid w:val="00337219"/>
    <w:rsid w:val="003419CA"/>
    <w:rsid w:val="00342078"/>
    <w:rsid w:val="00343626"/>
    <w:rsid w:val="00343E79"/>
    <w:rsid w:val="00344BC5"/>
    <w:rsid w:val="003457C1"/>
    <w:rsid w:val="00346A47"/>
    <w:rsid w:val="0035067D"/>
    <w:rsid w:val="00351E9C"/>
    <w:rsid w:val="00352BE5"/>
    <w:rsid w:val="003534C0"/>
    <w:rsid w:val="00354318"/>
    <w:rsid w:val="00354A64"/>
    <w:rsid w:val="00354A79"/>
    <w:rsid w:val="00355FC0"/>
    <w:rsid w:val="00356142"/>
    <w:rsid w:val="00356AD1"/>
    <w:rsid w:val="00361262"/>
    <w:rsid w:val="00361C9E"/>
    <w:rsid w:val="00364647"/>
    <w:rsid w:val="00366A27"/>
    <w:rsid w:val="0037029D"/>
    <w:rsid w:val="00370C8A"/>
    <w:rsid w:val="003724CE"/>
    <w:rsid w:val="0037288F"/>
    <w:rsid w:val="00372E53"/>
    <w:rsid w:val="00373951"/>
    <w:rsid w:val="0037405F"/>
    <w:rsid w:val="00375F76"/>
    <w:rsid w:val="0037714C"/>
    <w:rsid w:val="00381E2B"/>
    <w:rsid w:val="00381ECF"/>
    <w:rsid w:val="00381FEF"/>
    <w:rsid w:val="00382A01"/>
    <w:rsid w:val="00383BFA"/>
    <w:rsid w:val="00384745"/>
    <w:rsid w:val="00384FE6"/>
    <w:rsid w:val="003851CE"/>
    <w:rsid w:val="00386948"/>
    <w:rsid w:val="003924E0"/>
    <w:rsid w:val="00394101"/>
    <w:rsid w:val="00395323"/>
    <w:rsid w:val="00395A66"/>
    <w:rsid w:val="0039654A"/>
    <w:rsid w:val="0039658A"/>
    <w:rsid w:val="00396685"/>
    <w:rsid w:val="00396C44"/>
    <w:rsid w:val="003A1C81"/>
    <w:rsid w:val="003A3419"/>
    <w:rsid w:val="003A3F7A"/>
    <w:rsid w:val="003A44B1"/>
    <w:rsid w:val="003A6EF8"/>
    <w:rsid w:val="003B035C"/>
    <w:rsid w:val="003B07A2"/>
    <w:rsid w:val="003B0FE8"/>
    <w:rsid w:val="003B1AB5"/>
    <w:rsid w:val="003B1E98"/>
    <w:rsid w:val="003B22D9"/>
    <w:rsid w:val="003B3290"/>
    <w:rsid w:val="003B3755"/>
    <w:rsid w:val="003B4511"/>
    <w:rsid w:val="003B4C27"/>
    <w:rsid w:val="003B6F87"/>
    <w:rsid w:val="003C0054"/>
    <w:rsid w:val="003C0851"/>
    <w:rsid w:val="003C14AB"/>
    <w:rsid w:val="003C1E7C"/>
    <w:rsid w:val="003C5047"/>
    <w:rsid w:val="003C668B"/>
    <w:rsid w:val="003D1437"/>
    <w:rsid w:val="003D3B7C"/>
    <w:rsid w:val="003D52AC"/>
    <w:rsid w:val="003D629B"/>
    <w:rsid w:val="003D6FFA"/>
    <w:rsid w:val="003D72B6"/>
    <w:rsid w:val="003D7449"/>
    <w:rsid w:val="003E00FE"/>
    <w:rsid w:val="003E35F5"/>
    <w:rsid w:val="003E44CB"/>
    <w:rsid w:val="003E4A1D"/>
    <w:rsid w:val="003E5C6E"/>
    <w:rsid w:val="003E5D4D"/>
    <w:rsid w:val="003F2938"/>
    <w:rsid w:val="003F4247"/>
    <w:rsid w:val="003F4F88"/>
    <w:rsid w:val="003F6E72"/>
    <w:rsid w:val="003F7462"/>
    <w:rsid w:val="00400273"/>
    <w:rsid w:val="00400415"/>
    <w:rsid w:val="00400F8F"/>
    <w:rsid w:val="00401075"/>
    <w:rsid w:val="00403397"/>
    <w:rsid w:val="00404202"/>
    <w:rsid w:val="00405597"/>
    <w:rsid w:val="004056A0"/>
    <w:rsid w:val="00406076"/>
    <w:rsid w:val="00406C2F"/>
    <w:rsid w:val="004071DA"/>
    <w:rsid w:val="0041210C"/>
    <w:rsid w:val="00420862"/>
    <w:rsid w:val="00420880"/>
    <w:rsid w:val="00421009"/>
    <w:rsid w:val="004233F9"/>
    <w:rsid w:val="0042372A"/>
    <w:rsid w:val="004259A8"/>
    <w:rsid w:val="00425ACB"/>
    <w:rsid w:val="00425E38"/>
    <w:rsid w:val="00427793"/>
    <w:rsid w:val="004277FA"/>
    <w:rsid w:val="00430020"/>
    <w:rsid w:val="004300CC"/>
    <w:rsid w:val="004347BF"/>
    <w:rsid w:val="00434EDB"/>
    <w:rsid w:val="00436108"/>
    <w:rsid w:val="004368E1"/>
    <w:rsid w:val="00436A1E"/>
    <w:rsid w:val="00437349"/>
    <w:rsid w:val="00437F68"/>
    <w:rsid w:val="00440010"/>
    <w:rsid w:val="00441691"/>
    <w:rsid w:val="00442203"/>
    <w:rsid w:val="004440D6"/>
    <w:rsid w:val="0044451B"/>
    <w:rsid w:val="00445E8C"/>
    <w:rsid w:val="00446C23"/>
    <w:rsid w:val="00446D32"/>
    <w:rsid w:val="00447598"/>
    <w:rsid w:val="00447D9D"/>
    <w:rsid w:val="00447F5D"/>
    <w:rsid w:val="0045187C"/>
    <w:rsid w:val="00451934"/>
    <w:rsid w:val="004522CD"/>
    <w:rsid w:val="00452EB9"/>
    <w:rsid w:val="004537A1"/>
    <w:rsid w:val="00453DA2"/>
    <w:rsid w:val="00454103"/>
    <w:rsid w:val="00454E83"/>
    <w:rsid w:val="004569C9"/>
    <w:rsid w:val="00457964"/>
    <w:rsid w:val="00460D58"/>
    <w:rsid w:val="004615CA"/>
    <w:rsid w:val="004643AF"/>
    <w:rsid w:val="00464C62"/>
    <w:rsid w:val="00465A54"/>
    <w:rsid w:val="004677D8"/>
    <w:rsid w:val="0047249F"/>
    <w:rsid w:val="00472927"/>
    <w:rsid w:val="00474121"/>
    <w:rsid w:val="004746B7"/>
    <w:rsid w:val="00474A2F"/>
    <w:rsid w:val="004753B1"/>
    <w:rsid w:val="00476556"/>
    <w:rsid w:val="004802EC"/>
    <w:rsid w:val="004837E8"/>
    <w:rsid w:val="00484A3D"/>
    <w:rsid w:val="0048581D"/>
    <w:rsid w:val="004859C3"/>
    <w:rsid w:val="00485EDF"/>
    <w:rsid w:val="00486FFD"/>
    <w:rsid w:val="00490A1F"/>
    <w:rsid w:val="00490EC5"/>
    <w:rsid w:val="004924E2"/>
    <w:rsid w:val="0049282E"/>
    <w:rsid w:val="00493CEE"/>
    <w:rsid w:val="0049425B"/>
    <w:rsid w:val="00494369"/>
    <w:rsid w:val="0049543D"/>
    <w:rsid w:val="004967DA"/>
    <w:rsid w:val="004A0510"/>
    <w:rsid w:val="004A11B8"/>
    <w:rsid w:val="004A2B4F"/>
    <w:rsid w:val="004A6596"/>
    <w:rsid w:val="004A7ED0"/>
    <w:rsid w:val="004B1CB6"/>
    <w:rsid w:val="004B264F"/>
    <w:rsid w:val="004B2E17"/>
    <w:rsid w:val="004B31F5"/>
    <w:rsid w:val="004B3B34"/>
    <w:rsid w:val="004B4250"/>
    <w:rsid w:val="004B42C6"/>
    <w:rsid w:val="004B46E7"/>
    <w:rsid w:val="004B4E67"/>
    <w:rsid w:val="004B56B6"/>
    <w:rsid w:val="004B58B4"/>
    <w:rsid w:val="004B6AA5"/>
    <w:rsid w:val="004B7913"/>
    <w:rsid w:val="004B7CD4"/>
    <w:rsid w:val="004C1A76"/>
    <w:rsid w:val="004C2D18"/>
    <w:rsid w:val="004C3CC5"/>
    <w:rsid w:val="004C5A8D"/>
    <w:rsid w:val="004C5AC8"/>
    <w:rsid w:val="004D0ECD"/>
    <w:rsid w:val="004D17B5"/>
    <w:rsid w:val="004D1CAF"/>
    <w:rsid w:val="004D1D4C"/>
    <w:rsid w:val="004D2D2B"/>
    <w:rsid w:val="004D3B38"/>
    <w:rsid w:val="004D438D"/>
    <w:rsid w:val="004D6AA0"/>
    <w:rsid w:val="004D6EA3"/>
    <w:rsid w:val="004D7C5A"/>
    <w:rsid w:val="004E095F"/>
    <w:rsid w:val="004E0DC1"/>
    <w:rsid w:val="004E2BA2"/>
    <w:rsid w:val="004E3700"/>
    <w:rsid w:val="004E3AD2"/>
    <w:rsid w:val="004E4ECE"/>
    <w:rsid w:val="004E77BC"/>
    <w:rsid w:val="004E7C5E"/>
    <w:rsid w:val="004F053A"/>
    <w:rsid w:val="004F2BA1"/>
    <w:rsid w:val="004F4A10"/>
    <w:rsid w:val="004F52B7"/>
    <w:rsid w:val="004F54C2"/>
    <w:rsid w:val="004F6640"/>
    <w:rsid w:val="004F6D0A"/>
    <w:rsid w:val="00500450"/>
    <w:rsid w:val="00500C1A"/>
    <w:rsid w:val="0050202B"/>
    <w:rsid w:val="005023EE"/>
    <w:rsid w:val="00503CA8"/>
    <w:rsid w:val="00507564"/>
    <w:rsid w:val="0051137A"/>
    <w:rsid w:val="00511759"/>
    <w:rsid w:val="00512F35"/>
    <w:rsid w:val="00515F84"/>
    <w:rsid w:val="00516884"/>
    <w:rsid w:val="00516E92"/>
    <w:rsid w:val="005178B6"/>
    <w:rsid w:val="0051796C"/>
    <w:rsid w:val="00517EA9"/>
    <w:rsid w:val="0052149F"/>
    <w:rsid w:val="005234C2"/>
    <w:rsid w:val="00523933"/>
    <w:rsid w:val="00524715"/>
    <w:rsid w:val="00524A58"/>
    <w:rsid w:val="005275DB"/>
    <w:rsid w:val="00530B7E"/>
    <w:rsid w:val="00531EE2"/>
    <w:rsid w:val="00534655"/>
    <w:rsid w:val="0053654A"/>
    <w:rsid w:val="005379D8"/>
    <w:rsid w:val="00537DFF"/>
    <w:rsid w:val="005418F5"/>
    <w:rsid w:val="005437F7"/>
    <w:rsid w:val="0054439D"/>
    <w:rsid w:val="005452BF"/>
    <w:rsid w:val="005455D7"/>
    <w:rsid w:val="0054613F"/>
    <w:rsid w:val="00546F02"/>
    <w:rsid w:val="0054726C"/>
    <w:rsid w:val="00547477"/>
    <w:rsid w:val="00550637"/>
    <w:rsid w:val="00550C15"/>
    <w:rsid w:val="00551E54"/>
    <w:rsid w:val="00552A5B"/>
    <w:rsid w:val="00552C35"/>
    <w:rsid w:val="00553A9F"/>
    <w:rsid w:val="005553B4"/>
    <w:rsid w:val="00555666"/>
    <w:rsid w:val="005557AE"/>
    <w:rsid w:val="005563F8"/>
    <w:rsid w:val="0055769A"/>
    <w:rsid w:val="005603D7"/>
    <w:rsid w:val="00560776"/>
    <w:rsid w:val="005651F2"/>
    <w:rsid w:val="00566BF2"/>
    <w:rsid w:val="00566C37"/>
    <w:rsid w:val="00567FBF"/>
    <w:rsid w:val="0057020D"/>
    <w:rsid w:val="005710B2"/>
    <w:rsid w:val="005715A3"/>
    <w:rsid w:val="00571E5F"/>
    <w:rsid w:val="005758DC"/>
    <w:rsid w:val="00575EC8"/>
    <w:rsid w:val="005770E1"/>
    <w:rsid w:val="00577D3B"/>
    <w:rsid w:val="00583ED8"/>
    <w:rsid w:val="00584025"/>
    <w:rsid w:val="00584ACA"/>
    <w:rsid w:val="0058506E"/>
    <w:rsid w:val="00585C10"/>
    <w:rsid w:val="00585D18"/>
    <w:rsid w:val="00586DE8"/>
    <w:rsid w:val="005871FC"/>
    <w:rsid w:val="005873E6"/>
    <w:rsid w:val="005876D8"/>
    <w:rsid w:val="00590091"/>
    <w:rsid w:val="00591013"/>
    <w:rsid w:val="0059168E"/>
    <w:rsid w:val="00591E80"/>
    <w:rsid w:val="0059553F"/>
    <w:rsid w:val="00595B7E"/>
    <w:rsid w:val="005A4C85"/>
    <w:rsid w:val="005A6B6C"/>
    <w:rsid w:val="005A776E"/>
    <w:rsid w:val="005B0EA2"/>
    <w:rsid w:val="005B1B2E"/>
    <w:rsid w:val="005B3818"/>
    <w:rsid w:val="005B3F18"/>
    <w:rsid w:val="005B4B72"/>
    <w:rsid w:val="005B52B1"/>
    <w:rsid w:val="005B5AEB"/>
    <w:rsid w:val="005C08C3"/>
    <w:rsid w:val="005C08FA"/>
    <w:rsid w:val="005C10F2"/>
    <w:rsid w:val="005C3E17"/>
    <w:rsid w:val="005C463A"/>
    <w:rsid w:val="005C4C63"/>
    <w:rsid w:val="005D0E6E"/>
    <w:rsid w:val="005D1258"/>
    <w:rsid w:val="005D1A01"/>
    <w:rsid w:val="005D3DE5"/>
    <w:rsid w:val="005D46A5"/>
    <w:rsid w:val="005D5326"/>
    <w:rsid w:val="005D691C"/>
    <w:rsid w:val="005D6E76"/>
    <w:rsid w:val="005D705B"/>
    <w:rsid w:val="005D7146"/>
    <w:rsid w:val="005D71AF"/>
    <w:rsid w:val="005D72BC"/>
    <w:rsid w:val="005D7BAC"/>
    <w:rsid w:val="005E0927"/>
    <w:rsid w:val="005E0EB8"/>
    <w:rsid w:val="005E1042"/>
    <w:rsid w:val="005E1895"/>
    <w:rsid w:val="005E290B"/>
    <w:rsid w:val="005E61DB"/>
    <w:rsid w:val="005E7857"/>
    <w:rsid w:val="005F038E"/>
    <w:rsid w:val="005F044B"/>
    <w:rsid w:val="005F28F4"/>
    <w:rsid w:val="005F39AC"/>
    <w:rsid w:val="005F3A31"/>
    <w:rsid w:val="005F6B77"/>
    <w:rsid w:val="006003EE"/>
    <w:rsid w:val="006021BF"/>
    <w:rsid w:val="00605136"/>
    <w:rsid w:val="0060560B"/>
    <w:rsid w:val="00605C04"/>
    <w:rsid w:val="00605C43"/>
    <w:rsid w:val="00606299"/>
    <w:rsid w:val="006063A3"/>
    <w:rsid w:val="00606464"/>
    <w:rsid w:val="00606E5C"/>
    <w:rsid w:val="0060753A"/>
    <w:rsid w:val="00610DCC"/>
    <w:rsid w:val="006120A9"/>
    <w:rsid w:val="00612C9E"/>
    <w:rsid w:val="00614B06"/>
    <w:rsid w:val="00614DE1"/>
    <w:rsid w:val="006169D0"/>
    <w:rsid w:val="00616C8F"/>
    <w:rsid w:val="00616EAA"/>
    <w:rsid w:val="0062060B"/>
    <w:rsid w:val="00621317"/>
    <w:rsid w:val="00621870"/>
    <w:rsid w:val="00621F9E"/>
    <w:rsid w:val="00626234"/>
    <w:rsid w:val="006277E3"/>
    <w:rsid w:val="00627813"/>
    <w:rsid w:val="00630CE7"/>
    <w:rsid w:val="00633FA7"/>
    <w:rsid w:val="006345DE"/>
    <w:rsid w:val="00635F76"/>
    <w:rsid w:val="00643045"/>
    <w:rsid w:val="00644B0D"/>
    <w:rsid w:val="0064574D"/>
    <w:rsid w:val="00645C78"/>
    <w:rsid w:val="00646470"/>
    <w:rsid w:val="00646570"/>
    <w:rsid w:val="00650EC4"/>
    <w:rsid w:val="00652426"/>
    <w:rsid w:val="00652858"/>
    <w:rsid w:val="0065519A"/>
    <w:rsid w:val="0065793E"/>
    <w:rsid w:val="00661531"/>
    <w:rsid w:val="006622F0"/>
    <w:rsid w:val="00662487"/>
    <w:rsid w:val="00662776"/>
    <w:rsid w:val="0066345E"/>
    <w:rsid w:val="00665609"/>
    <w:rsid w:val="006666FB"/>
    <w:rsid w:val="00666D76"/>
    <w:rsid w:val="0066748C"/>
    <w:rsid w:val="0066780A"/>
    <w:rsid w:val="00667F67"/>
    <w:rsid w:val="006708E4"/>
    <w:rsid w:val="00670BD0"/>
    <w:rsid w:val="006733AC"/>
    <w:rsid w:val="006738C0"/>
    <w:rsid w:val="006747D0"/>
    <w:rsid w:val="00676BDE"/>
    <w:rsid w:val="00677D9A"/>
    <w:rsid w:val="00677EB4"/>
    <w:rsid w:val="00680E92"/>
    <w:rsid w:val="00680F34"/>
    <w:rsid w:val="006815B2"/>
    <w:rsid w:val="00682060"/>
    <w:rsid w:val="006820AD"/>
    <w:rsid w:val="006825D3"/>
    <w:rsid w:val="006826F0"/>
    <w:rsid w:val="00682A5F"/>
    <w:rsid w:val="00682AC8"/>
    <w:rsid w:val="00682BF1"/>
    <w:rsid w:val="00682D84"/>
    <w:rsid w:val="00683B04"/>
    <w:rsid w:val="006843A3"/>
    <w:rsid w:val="0068510B"/>
    <w:rsid w:val="00686629"/>
    <w:rsid w:val="00687E71"/>
    <w:rsid w:val="00690191"/>
    <w:rsid w:val="0069022C"/>
    <w:rsid w:val="00690343"/>
    <w:rsid w:val="00693EA5"/>
    <w:rsid w:val="0069462B"/>
    <w:rsid w:val="00694AF2"/>
    <w:rsid w:val="006959B9"/>
    <w:rsid w:val="00695A3E"/>
    <w:rsid w:val="006A0565"/>
    <w:rsid w:val="006A0C8E"/>
    <w:rsid w:val="006A357E"/>
    <w:rsid w:val="006A45A1"/>
    <w:rsid w:val="006A4E33"/>
    <w:rsid w:val="006A5D0B"/>
    <w:rsid w:val="006A6791"/>
    <w:rsid w:val="006A7FB3"/>
    <w:rsid w:val="006A7FB6"/>
    <w:rsid w:val="006B23BF"/>
    <w:rsid w:val="006B249A"/>
    <w:rsid w:val="006B3179"/>
    <w:rsid w:val="006B3693"/>
    <w:rsid w:val="006B43B6"/>
    <w:rsid w:val="006B634B"/>
    <w:rsid w:val="006B6634"/>
    <w:rsid w:val="006B728F"/>
    <w:rsid w:val="006B7390"/>
    <w:rsid w:val="006B73C5"/>
    <w:rsid w:val="006B791C"/>
    <w:rsid w:val="006B7CD2"/>
    <w:rsid w:val="006C0EAE"/>
    <w:rsid w:val="006C2713"/>
    <w:rsid w:val="006C28C6"/>
    <w:rsid w:val="006C34E1"/>
    <w:rsid w:val="006C434D"/>
    <w:rsid w:val="006C5CD3"/>
    <w:rsid w:val="006C5DBB"/>
    <w:rsid w:val="006D1852"/>
    <w:rsid w:val="006D2D0E"/>
    <w:rsid w:val="006D4E10"/>
    <w:rsid w:val="006D4E8D"/>
    <w:rsid w:val="006D539E"/>
    <w:rsid w:val="006D634E"/>
    <w:rsid w:val="006D73C5"/>
    <w:rsid w:val="006D7AEE"/>
    <w:rsid w:val="006E0F4A"/>
    <w:rsid w:val="006E1B6F"/>
    <w:rsid w:val="006E280B"/>
    <w:rsid w:val="006E3610"/>
    <w:rsid w:val="006E3819"/>
    <w:rsid w:val="006E3977"/>
    <w:rsid w:val="006E3EA3"/>
    <w:rsid w:val="006E40D7"/>
    <w:rsid w:val="006E57C3"/>
    <w:rsid w:val="006E5B7C"/>
    <w:rsid w:val="006E6C7E"/>
    <w:rsid w:val="006E7778"/>
    <w:rsid w:val="006F1728"/>
    <w:rsid w:val="006F19FC"/>
    <w:rsid w:val="006F51D3"/>
    <w:rsid w:val="006F6F4D"/>
    <w:rsid w:val="006F72D9"/>
    <w:rsid w:val="006F74F3"/>
    <w:rsid w:val="00702AEB"/>
    <w:rsid w:val="00703E8A"/>
    <w:rsid w:val="00706597"/>
    <w:rsid w:val="007068BA"/>
    <w:rsid w:val="00707B59"/>
    <w:rsid w:val="00710A76"/>
    <w:rsid w:val="0071161C"/>
    <w:rsid w:val="007125AA"/>
    <w:rsid w:val="007141AF"/>
    <w:rsid w:val="00716115"/>
    <w:rsid w:val="00716B69"/>
    <w:rsid w:val="00721582"/>
    <w:rsid w:val="00721914"/>
    <w:rsid w:val="0072311D"/>
    <w:rsid w:val="007236E6"/>
    <w:rsid w:val="0072427E"/>
    <w:rsid w:val="007243F2"/>
    <w:rsid w:val="007275F5"/>
    <w:rsid w:val="0073057D"/>
    <w:rsid w:val="00730609"/>
    <w:rsid w:val="007319B2"/>
    <w:rsid w:val="00731DA2"/>
    <w:rsid w:val="0073276D"/>
    <w:rsid w:val="00734122"/>
    <w:rsid w:val="007352A4"/>
    <w:rsid w:val="00736FE3"/>
    <w:rsid w:val="00737F15"/>
    <w:rsid w:val="0074082A"/>
    <w:rsid w:val="007423F5"/>
    <w:rsid w:val="00742877"/>
    <w:rsid w:val="0074393D"/>
    <w:rsid w:val="0074398D"/>
    <w:rsid w:val="00743991"/>
    <w:rsid w:val="00746AD4"/>
    <w:rsid w:val="0075074B"/>
    <w:rsid w:val="00750B7E"/>
    <w:rsid w:val="00750E4A"/>
    <w:rsid w:val="007515C4"/>
    <w:rsid w:val="007522B7"/>
    <w:rsid w:val="0075277D"/>
    <w:rsid w:val="007540CC"/>
    <w:rsid w:val="00755584"/>
    <w:rsid w:val="00755A08"/>
    <w:rsid w:val="00756231"/>
    <w:rsid w:val="00756CD1"/>
    <w:rsid w:val="00757287"/>
    <w:rsid w:val="0075766C"/>
    <w:rsid w:val="00757D3C"/>
    <w:rsid w:val="007604E9"/>
    <w:rsid w:val="00762466"/>
    <w:rsid w:val="00763F24"/>
    <w:rsid w:val="00764146"/>
    <w:rsid w:val="007646F7"/>
    <w:rsid w:val="00764BF3"/>
    <w:rsid w:val="0076635D"/>
    <w:rsid w:val="007663CC"/>
    <w:rsid w:val="0076654B"/>
    <w:rsid w:val="00766C89"/>
    <w:rsid w:val="00766D98"/>
    <w:rsid w:val="007673B6"/>
    <w:rsid w:val="007707AA"/>
    <w:rsid w:val="00771683"/>
    <w:rsid w:val="0077308D"/>
    <w:rsid w:val="00774962"/>
    <w:rsid w:val="00775F64"/>
    <w:rsid w:val="00776970"/>
    <w:rsid w:val="0077785D"/>
    <w:rsid w:val="00777FC5"/>
    <w:rsid w:val="00780DCA"/>
    <w:rsid w:val="00781660"/>
    <w:rsid w:val="007818C9"/>
    <w:rsid w:val="00782920"/>
    <w:rsid w:val="007865E1"/>
    <w:rsid w:val="007866F2"/>
    <w:rsid w:val="007868A7"/>
    <w:rsid w:val="007878F3"/>
    <w:rsid w:val="00790706"/>
    <w:rsid w:val="00795949"/>
    <w:rsid w:val="007A009E"/>
    <w:rsid w:val="007A01F7"/>
    <w:rsid w:val="007A0F8C"/>
    <w:rsid w:val="007A13C0"/>
    <w:rsid w:val="007A43BB"/>
    <w:rsid w:val="007A4490"/>
    <w:rsid w:val="007A4EE5"/>
    <w:rsid w:val="007A4F56"/>
    <w:rsid w:val="007A5630"/>
    <w:rsid w:val="007A7069"/>
    <w:rsid w:val="007A70D1"/>
    <w:rsid w:val="007A7526"/>
    <w:rsid w:val="007A7C36"/>
    <w:rsid w:val="007B05E4"/>
    <w:rsid w:val="007B100D"/>
    <w:rsid w:val="007B1854"/>
    <w:rsid w:val="007B283B"/>
    <w:rsid w:val="007B2F12"/>
    <w:rsid w:val="007B5FA8"/>
    <w:rsid w:val="007B6459"/>
    <w:rsid w:val="007B6900"/>
    <w:rsid w:val="007B73ED"/>
    <w:rsid w:val="007B7884"/>
    <w:rsid w:val="007C0294"/>
    <w:rsid w:val="007C12CC"/>
    <w:rsid w:val="007C3B0F"/>
    <w:rsid w:val="007C563E"/>
    <w:rsid w:val="007C6221"/>
    <w:rsid w:val="007D2B2B"/>
    <w:rsid w:val="007D2B50"/>
    <w:rsid w:val="007D39E5"/>
    <w:rsid w:val="007D425A"/>
    <w:rsid w:val="007D44FA"/>
    <w:rsid w:val="007D50F1"/>
    <w:rsid w:val="007D54E9"/>
    <w:rsid w:val="007D5A19"/>
    <w:rsid w:val="007E1615"/>
    <w:rsid w:val="007E193D"/>
    <w:rsid w:val="007E31A6"/>
    <w:rsid w:val="007E37B8"/>
    <w:rsid w:val="007E4D4F"/>
    <w:rsid w:val="007E4F90"/>
    <w:rsid w:val="007E6F39"/>
    <w:rsid w:val="007E7400"/>
    <w:rsid w:val="007F00ED"/>
    <w:rsid w:val="007F2353"/>
    <w:rsid w:val="007F2474"/>
    <w:rsid w:val="007F5FAD"/>
    <w:rsid w:val="007F620C"/>
    <w:rsid w:val="008004E8"/>
    <w:rsid w:val="00801A23"/>
    <w:rsid w:val="00801B05"/>
    <w:rsid w:val="008025D3"/>
    <w:rsid w:val="00807A32"/>
    <w:rsid w:val="00807BB1"/>
    <w:rsid w:val="008102C8"/>
    <w:rsid w:val="00810C97"/>
    <w:rsid w:val="008127C3"/>
    <w:rsid w:val="00812A99"/>
    <w:rsid w:val="008134EF"/>
    <w:rsid w:val="008139F7"/>
    <w:rsid w:val="00813B77"/>
    <w:rsid w:val="008159D7"/>
    <w:rsid w:val="00816AC0"/>
    <w:rsid w:val="0081715B"/>
    <w:rsid w:val="00817C5D"/>
    <w:rsid w:val="00817D26"/>
    <w:rsid w:val="00817F70"/>
    <w:rsid w:val="00821A14"/>
    <w:rsid w:val="00821FBB"/>
    <w:rsid w:val="008233FB"/>
    <w:rsid w:val="008265AD"/>
    <w:rsid w:val="008266FA"/>
    <w:rsid w:val="00830484"/>
    <w:rsid w:val="00830A98"/>
    <w:rsid w:val="00831330"/>
    <w:rsid w:val="00831AF4"/>
    <w:rsid w:val="00835E74"/>
    <w:rsid w:val="008373DB"/>
    <w:rsid w:val="00840B26"/>
    <w:rsid w:val="00840D1C"/>
    <w:rsid w:val="00841CA6"/>
    <w:rsid w:val="00843A2F"/>
    <w:rsid w:val="00843A50"/>
    <w:rsid w:val="00843C8D"/>
    <w:rsid w:val="00844361"/>
    <w:rsid w:val="00845524"/>
    <w:rsid w:val="00847236"/>
    <w:rsid w:val="008510BC"/>
    <w:rsid w:val="00851335"/>
    <w:rsid w:val="00851D92"/>
    <w:rsid w:val="00851E64"/>
    <w:rsid w:val="00852BC0"/>
    <w:rsid w:val="00852E08"/>
    <w:rsid w:val="00854D37"/>
    <w:rsid w:val="00854F1D"/>
    <w:rsid w:val="00855B24"/>
    <w:rsid w:val="00857EA5"/>
    <w:rsid w:val="00862EF7"/>
    <w:rsid w:val="00863490"/>
    <w:rsid w:val="00863B9D"/>
    <w:rsid w:val="00865464"/>
    <w:rsid w:val="0087069A"/>
    <w:rsid w:val="008708ED"/>
    <w:rsid w:val="0087135D"/>
    <w:rsid w:val="00874451"/>
    <w:rsid w:val="00875714"/>
    <w:rsid w:val="00877038"/>
    <w:rsid w:val="00881E6D"/>
    <w:rsid w:val="00882A03"/>
    <w:rsid w:val="00882E0C"/>
    <w:rsid w:val="008834FA"/>
    <w:rsid w:val="00885488"/>
    <w:rsid w:val="00887A37"/>
    <w:rsid w:val="008944AF"/>
    <w:rsid w:val="0089587E"/>
    <w:rsid w:val="00896D33"/>
    <w:rsid w:val="008970D5"/>
    <w:rsid w:val="00897B8F"/>
    <w:rsid w:val="008A0B92"/>
    <w:rsid w:val="008A1079"/>
    <w:rsid w:val="008A1875"/>
    <w:rsid w:val="008A3B23"/>
    <w:rsid w:val="008A3E63"/>
    <w:rsid w:val="008A4078"/>
    <w:rsid w:val="008A51A9"/>
    <w:rsid w:val="008B0085"/>
    <w:rsid w:val="008B2B51"/>
    <w:rsid w:val="008B346E"/>
    <w:rsid w:val="008B3D00"/>
    <w:rsid w:val="008B4E2A"/>
    <w:rsid w:val="008B5136"/>
    <w:rsid w:val="008B65DF"/>
    <w:rsid w:val="008B68FD"/>
    <w:rsid w:val="008C2613"/>
    <w:rsid w:val="008C2E09"/>
    <w:rsid w:val="008C32D0"/>
    <w:rsid w:val="008C3677"/>
    <w:rsid w:val="008C3970"/>
    <w:rsid w:val="008C48F8"/>
    <w:rsid w:val="008C5296"/>
    <w:rsid w:val="008D161C"/>
    <w:rsid w:val="008D36A0"/>
    <w:rsid w:val="008D3C61"/>
    <w:rsid w:val="008D45B1"/>
    <w:rsid w:val="008D4DE9"/>
    <w:rsid w:val="008D6485"/>
    <w:rsid w:val="008D706D"/>
    <w:rsid w:val="008E1471"/>
    <w:rsid w:val="008E1ADA"/>
    <w:rsid w:val="008E1C35"/>
    <w:rsid w:val="008E2427"/>
    <w:rsid w:val="008E2C6B"/>
    <w:rsid w:val="008E46ED"/>
    <w:rsid w:val="008E5112"/>
    <w:rsid w:val="008E512D"/>
    <w:rsid w:val="008E5891"/>
    <w:rsid w:val="008E5F09"/>
    <w:rsid w:val="008E744B"/>
    <w:rsid w:val="008F1A08"/>
    <w:rsid w:val="008F1DDA"/>
    <w:rsid w:val="008F2108"/>
    <w:rsid w:val="008F39B8"/>
    <w:rsid w:val="008F6B8B"/>
    <w:rsid w:val="008F6DE1"/>
    <w:rsid w:val="00901748"/>
    <w:rsid w:val="009018E5"/>
    <w:rsid w:val="009019CF"/>
    <w:rsid w:val="00901C1E"/>
    <w:rsid w:val="00902CF4"/>
    <w:rsid w:val="0090478A"/>
    <w:rsid w:val="009054C0"/>
    <w:rsid w:val="009056D3"/>
    <w:rsid w:val="00905841"/>
    <w:rsid w:val="00907D77"/>
    <w:rsid w:val="00910F99"/>
    <w:rsid w:val="009115B4"/>
    <w:rsid w:val="00911DDD"/>
    <w:rsid w:val="00914BDD"/>
    <w:rsid w:val="00916557"/>
    <w:rsid w:val="00916635"/>
    <w:rsid w:val="0091761E"/>
    <w:rsid w:val="00920FF1"/>
    <w:rsid w:val="00921695"/>
    <w:rsid w:val="009221E3"/>
    <w:rsid w:val="0092358B"/>
    <w:rsid w:val="009235E0"/>
    <w:rsid w:val="0092409B"/>
    <w:rsid w:val="0092487E"/>
    <w:rsid w:val="00924A8B"/>
    <w:rsid w:val="0092521F"/>
    <w:rsid w:val="0092555F"/>
    <w:rsid w:val="00926E97"/>
    <w:rsid w:val="0092700A"/>
    <w:rsid w:val="00927144"/>
    <w:rsid w:val="009306D2"/>
    <w:rsid w:val="00931F6A"/>
    <w:rsid w:val="00932A46"/>
    <w:rsid w:val="00933D99"/>
    <w:rsid w:val="009346ED"/>
    <w:rsid w:val="00935053"/>
    <w:rsid w:val="0093520D"/>
    <w:rsid w:val="0093790A"/>
    <w:rsid w:val="00941270"/>
    <w:rsid w:val="009417EE"/>
    <w:rsid w:val="00941B20"/>
    <w:rsid w:val="00942D3B"/>
    <w:rsid w:val="00943290"/>
    <w:rsid w:val="00945A9B"/>
    <w:rsid w:val="00951C0F"/>
    <w:rsid w:val="0095431B"/>
    <w:rsid w:val="00954A78"/>
    <w:rsid w:val="00954CEA"/>
    <w:rsid w:val="00955B70"/>
    <w:rsid w:val="009618EC"/>
    <w:rsid w:val="00961BBD"/>
    <w:rsid w:val="00961CD2"/>
    <w:rsid w:val="0096295D"/>
    <w:rsid w:val="00964479"/>
    <w:rsid w:val="00964B37"/>
    <w:rsid w:val="00965F90"/>
    <w:rsid w:val="00966E0E"/>
    <w:rsid w:val="0097195D"/>
    <w:rsid w:val="009721A4"/>
    <w:rsid w:val="009727F4"/>
    <w:rsid w:val="00972975"/>
    <w:rsid w:val="00973FEF"/>
    <w:rsid w:val="009752EE"/>
    <w:rsid w:val="00977CDA"/>
    <w:rsid w:val="00977F1D"/>
    <w:rsid w:val="00980F49"/>
    <w:rsid w:val="0098255F"/>
    <w:rsid w:val="0098261E"/>
    <w:rsid w:val="009827C3"/>
    <w:rsid w:val="00982994"/>
    <w:rsid w:val="00983CCA"/>
    <w:rsid w:val="009844F8"/>
    <w:rsid w:val="0098675D"/>
    <w:rsid w:val="00987223"/>
    <w:rsid w:val="00987F3D"/>
    <w:rsid w:val="00990E2B"/>
    <w:rsid w:val="009912FD"/>
    <w:rsid w:val="0099514C"/>
    <w:rsid w:val="00996CE3"/>
    <w:rsid w:val="00996F0B"/>
    <w:rsid w:val="009A07C7"/>
    <w:rsid w:val="009A0958"/>
    <w:rsid w:val="009A1FE1"/>
    <w:rsid w:val="009A4BD5"/>
    <w:rsid w:val="009A4DCC"/>
    <w:rsid w:val="009A4F79"/>
    <w:rsid w:val="009A5259"/>
    <w:rsid w:val="009A5DE2"/>
    <w:rsid w:val="009A636B"/>
    <w:rsid w:val="009A645B"/>
    <w:rsid w:val="009A6CC8"/>
    <w:rsid w:val="009A7416"/>
    <w:rsid w:val="009B00B6"/>
    <w:rsid w:val="009B520F"/>
    <w:rsid w:val="009B6998"/>
    <w:rsid w:val="009C17E0"/>
    <w:rsid w:val="009C21A8"/>
    <w:rsid w:val="009C58FC"/>
    <w:rsid w:val="009D004A"/>
    <w:rsid w:val="009D0197"/>
    <w:rsid w:val="009D19AE"/>
    <w:rsid w:val="009D1C3B"/>
    <w:rsid w:val="009D1FA3"/>
    <w:rsid w:val="009D2805"/>
    <w:rsid w:val="009D2EEE"/>
    <w:rsid w:val="009D34F3"/>
    <w:rsid w:val="009D3609"/>
    <w:rsid w:val="009D4F56"/>
    <w:rsid w:val="009D7994"/>
    <w:rsid w:val="009E0E21"/>
    <w:rsid w:val="009E1712"/>
    <w:rsid w:val="009E3963"/>
    <w:rsid w:val="009E46B1"/>
    <w:rsid w:val="009E7AD9"/>
    <w:rsid w:val="009F1FFE"/>
    <w:rsid w:val="009F2F5C"/>
    <w:rsid w:val="009F31B2"/>
    <w:rsid w:val="009F40BC"/>
    <w:rsid w:val="009F60DF"/>
    <w:rsid w:val="00A01297"/>
    <w:rsid w:val="00A030EA"/>
    <w:rsid w:val="00A036C6"/>
    <w:rsid w:val="00A04C2D"/>
    <w:rsid w:val="00A04DCF"/>
    <w:rsid w:val="00A066BF"/>
    <w:rsid w:val="00A075EF"/>
    <w:rsid w:val="00A0776C"/>
    <w:rsid w:val="00A100BF"/>
    <w:rsid w:val="00A1253B"/>
    <w:rsid w:val="00A130E7"/>
    <w:rsid w:val="00A16042"/>
    <w:rsid w:val="00A17860"/>
    <w:rsid w:val="00A17A62"/>
    <w:rsid w:val="00A21609"/>
    <w:rsid w:val="00A22389"/>
    <w:rsid w:val="00A233B1"/>
    <w:rsid w:val="00A24090"/>
    <w:rsid w:val="00A24212"/>
    <w:rsid w:val="00A24C7F"/>
    <w:rsid w:val="00A25B97"/>
    <w:rsid w:val="00A25BBF"/>
    <w:rsid w:val="00A3179E"/>
    <w:rsid w:val="00A33051"/>
    <w:rsid w:val="00A331CA"/>
    <w:rsid w:val="00A3320C"/>
    <w:rsid w:val="00A33215"/>
    <w:rsid w:val="00A33805"/>
    <w:rsid w:val="00A34DB9"/>
    <w:rsid w:val="00A3546D"/>
    <w:rsid w:val="00A35DEB"/>
    <w:rsid w:val="00A365D7"/>
    <w:rsid w:val="00A36E24"/>
    <w:rsid w:val="00A3709F"/>
    <w:rsid w:val="00A3731C"/>
    <w:rsid w:val="00A3757E"/>
    <w:rsid w:val="00A40262"/>
    <w:rsid w:val="00A40333"/>
    <w:rsid w:val="00A40BCF"/>
    <w:rsid w:val="00A40FA5"/>
    <w:rsid w:val="00A42BBA"/>
    <w:rsid w:val="00A450A0"/>
    <w:rsid w:val="00A4520A"/>
    <w:rsid w:val="00A46479"/>
    <w:rsid w:val="00A46D08"/>
    <w:rsid w:val="00A47CB3"/>
    <w:rsid w:val="00A51A79"/>
    <w:rsid w:val="00A52414"/>
    <w:rsid w:val="00A53021"/>
    <w:rsid w:val="00A53A2C"/>
    <w:rsid w:val="00A55909"/>
    <w:rsid w:val="00A56417"/>
    <w:rsid w:val="00A57448"/>
    <w:rsid w:val="00A65BFC"/>
    <w:rsid w:val="00A65E47"/>
    <w:rsid w:val="00A66011"/>
    <w:rsid w:val="00A67908"/>
    <w:rsid w:val="00A708C8"/>
    <w:rsid w:val="00A70FA9"/>
    <w:rsid w:val="00A71F21"/>
    <w:rsid w:val="00A71F44"/>
    <w:rsid w:val="00A737B7"/>
    <w:rsid w:val="00A774D0"/>
    <w:rsid w:val="00A77774"/>
    <w:rsid w:val="00A80B2E"/>
    <w:rsid w:val="00A80E35"/>
    <w:rsid w:val="00A83CE3"/>
    <w:rsid w:val="00A8489E"/>
    <w:rsid w:val="00A85309"/>
    <w:rsid w:val="00A858C3"/>
    <w:rsid w:val="00A85B90"/>
    <w:rsid w:val="00A861A9"/>
    <w:rsid w:val="00A871BF"/>
    <w:rsid w:val="00A87F68"/>
    <w:rsid w:val="00A91EF8"/>
    <w:rsid w:val="00A93D75"/>
    <w:rsid w:val="00A93F81"/>
    <w:rsid w:val="00A94B75"/>
    <w:rsid w:val="00A94EC9"/>
    <w:rsid w:val="00A9546D"/>
    <w:rsid w:val="00A97321"/>
    <w:rsid w:val="00A978E5"/>
    <w:rsid w:val="00A97B99"/>
    <w:rsid w:val="00A97EBF"/>
    <w:rsid w:val="00AA04F9"/>
    <w:rsid w:val="00AA0889"/>
    <w:rsid w:val="00AA13B3"/>
    <w:rsid w:val="00AA23BA"/>
    <w:rsid w:val="00AA2E6B"/>
    <w:rsid w:val="00AA43C0"/>
    <w:rsid w:val="00AA4870"/>
    <w:rsid w:val="00AA4A6D"/>
    <w:rsid w:val="00AA7784"/>
    <w:rsid w:val="00AB11E7"/>
    <w:rsid w:val="00AB55D0"/>
    <w:rsid w:val="00AB56FB"/>
    <w:rsid w:val="00AB60F8"/>
    <w:rsid w:val="00AB6EB6"/>
    <w:rsid w:val="00AB7813"/>
    <w:rsid w:val="00AC2D2E"/>
    <w:rsid w:val="00AC301A"/>
    <w:rsid w:val="00AC3246"/>
    <w:rsid w:val="00AC3317"/>
    <w:rsid w:val="00AC3443"/>
    <w:rsid w:val="00AC35D7"/>
    <w:rsid w:val="00AC611F"/>
    <w:rsid w:val="00AC6B73"/>
    <w:rsid w:val="00AC6F1A"/>
    <w:rsid w:val="00AC74AE"/>
    <w:rsid w:val="00AD192B"/>
    <w:rsid w:val="00AD438F"/>
    <w:rsid w:val="00AD4766"/>
    <w:rsid w:val="00AD6A1B"/>
    <w:rsid w:val="00AD6A50"/>
    <w:rsid w:val="00AD7006"/>
    <w:rsid w:val="00AD7780"/>
    <w:rsid w:val="00AE02D5"/>
    <w:rsid w:val="00AE0937"/>
    <w:rsid w:val="00AE0A4F"/>
    <w:rsid w:val="00AE1F8D"/>
    <w:rsid w:val="00AE2347"/>
    <w:rsid w:val="00AE3109"/>
    <w:rsid w:val="00AE32A1"/>
    <w:rsid w:val="00AE4129"/>
    <w:rsid w:val="00AE529B"/>
    <w:rsid w:val="00AE5A39"/>
    <w:rsid w:val="00AE649F"/>
    <w:rsid w:val="00AE6E76"/>
    <w:rsid w:val="00AE7D09"/>
    <w:rsid w:val="00AF02AD"/>
    <w:rsid w:val="00AF291D"/>
    <w:rsid w:val="00AF30DD"/>
    <w:rsid w:val="00AF581C"/>
    <w:rsid w:val="00AF5C27"/>
    <w:rsid w:val="00AF613D"/>
    <w:rsid w:val="00AF6147"/>
    <w:rsid w:val="00AF6A7E"/>
    <w:rsid w:val="00AF7313"/>
    <w:rsid w:val="00AF7432"/>
    <w:rsid w:val="00B0196D"/>
    <w:rsid w:val="00B01D46"/>
    <w:rsid w:val="00B0248E"/>
    <w:rsid w:val="00B03F3C"/>
    <w:rsid w:val="00B04413"/>
    <w:rsid w:val="00B04E09"/>
    <w:rsid w:val="00B05431"/>
    <w:rsid w:val="00B06E7A"/>
    <w:rsid w:val="00B07F21"/>
    <w:rsid w:val="00B11772"/>
    <w:rsid w:val="00B119BA"/>
    <w:rsid w:val="00B11E8E"/>
    <w:rsid w:val="00B1216D"/>
    <w:rsid w:val="00B154C8"/>
    <w:rsid w:val="00B1738C"/>
    <w:rsid w:val="00B21AC2"/>
    <w:rsid w:val="00B21BC8"/>
    <w:rsid w:val="00B21BE0"/>
    <w:rsid w:val="00B21D57"/>
    <w:rsid w:val="00B220E1"/>
    <w:rsid w:val="00B26138"/>
    <w:rsid w:val="00B26143"/>
    <w:rsid w:val="00B26B85"/>
    <w:rsid w:val="00B26C5E"/>
    <w:rsid w:val="00B27FFC"/>
    <w:rsid w:val="00B3084C"/>
    <w:rsid w:val="00B31337"/>
    <w:rsid w:val="00B329DF"/>
    <w:rsid w:val="00B34A5D"/>
    <w:rsid w:val="00B354CB"/>
    <w:rsid w:val="00B361A5"/>
    <w:rsid w:val="00B36583"/>
    <w:rsid w:val="00B372DE"/>
    <w:rsid w:val="00B37394"/>
    <w:rsid w:val="00B4292D"/>
    <w:rsid w:val="00B42D14"/>
    <w:rsid w:val="00B43A9E"/>
    <w:rsid w:val="00B4585C"/>
    <w:rsid w:val="00B46951"/>
    <w:rsid w:val="00B52E35"/>
    <w:rsid w:val="00B5320A"/>
    <w:rsid w:val="00B53E3D"/>
    <w:rsid w:val="00B54F17"/>
    <w:rsid w:val="00B5583D"/>
    <w:rsid w:val="00B57119"/>
    <w:rsid w:val="00B60727"/>
    <w:rsid w:val="00B61D3E"/>
    <w:rsid w:val="00B63F94"/>
    <w:rsid w:val="00B6425B"/>
    <w:rsid w:val="00B64DE9"/>
    <w:rsid w:val="00B65206"/>
    <w:rsid w:val="00B6533F"/>
    <w:rsid w:val="00B668D6"/>
    <w:rsid w:val="00B66D3D"/>
    <w:rsid w:val="00B67759"/>
    <w:rsid w:val="00B70476"/>
    <w:rsid w:val="00B70F40"/>
    <w:rsid w:val="00B70FB1"/>
    <w:rsid w:val="00B71560"/>
    <w:rsid w:val="00B71E95"/>
    <w:rsid w:val="00B73120"/>
    <w:rsid w:val="00B73D26"/>
    <w:rsid w:val="00B7599E"/>
    <w:rsid w:val="00B761BB"/>
    <w:rsid w:val="00B80DFC"/>
    <w:rsid w:val="00B80EDE"/>
    <w:rsid w:val="00B84254"/>
    <w:rsid w:val="00B859B8"/>
    <w:rsid w:val="00B87988"/>
    <w:rsid w:val="00B87B37"/>
    <w:rsid w:val="00B90574"/>
    <w:rsid w:val="00B90ABB"/>
    <w:rsid w:val="00B90CBD"/>
    <w:rsid w:val="00B92E98"/>
    <w:rsid w:val="00B9528F"/>
    <w:rsid w:val="00B9529C"/>
    <w:rsid w:val="00B9543F"/>
    <w:rsid w:val="00B9553B"/>
    <w:rsid w:val="00BA3397"/>
    <w:rsid w:val="00BA606B"/>
    <w:rsid w:val="00BA78B0"/>
    <w:rsid w:val="00BA79F9"/>
    <w:rsid w:val="00BA7A83"/>
    <w:rsid w:val="00BA7DC3"/>
    <w:rsid w:val="00BB0530"/>
    <w:rsid w:val="00BB3ECA"/>
    <w:rsid w:val="00BB40B8"/>
    <w:rsid w:val="00BB471C"/>
    <w:rsid w:val="00BB5F5E"/>
    <w:rsid w:val="00BB61E6"/>
    <w:rsid w:val="00BB62E8"/>
    <w:rsid w:val="00BB6415"/>
    <w:rsid w:val="00BB767C"/>
    <w:rsid w:val="00BC045F"/>
    <w:rsid w:val="00BC12CD"/>
    <w:rsid w:val="00BC144C"/>
    <w:rsid w:val="00BC1890"/>
    <w:rsid w:val="00BC1E26"/>
    <w:rsid w:val="00BC229A"/>
    <w:rsid w:val="00BC5C4C"/>
    <w:rsid w:val="00BC6B83"/>
    <w:rsid w:val="00BC6DAD"/>
    <w:rsid w:val="00BC70C5"/>
    <w:rsid w:val="00BD1145"/>
    <w:rsid w:val="00BD2189"/>
    <w:rsid w:val="00BD2936"/>
    <w:rsid w:val="00BD2AA8"/>
    <w:rsid w:val="00BD40F4"/>
    <w:rsid w:val="00BD4D2E"/>
    <w:rsid w:val="00BD5772"/>
    <w:rsid w:val="00BD7565"/>
    <w:rsid w:val="00BE174B"/>
    <w:rsid w:val="00BE2A3D"/>
    <w:rsid w:val="00BE3611"/>
    <w:rsid w:val="00BE5099"/>
    <w:rsid w:val="00BE53FC"/>
    <w:rsid w:val="00BE573A"/>
    <w:rsid w:val="00BE63C9"/>
    <w:rsid w:val="00BE79E6"/>
    <w:rsid w:val="00BF02DD"/>
    <w:rsid w:val="00BF2A99"/>
    <w:rsid w:val="00BF2B76"/>
    <w:rsid w:val="00BF303D"/>
    <w:rsid w:val="00BF3D62"/>
    <w:rsid w:val="00BF3FF4"/>
    <w:rsid w:val="00BF5678"/>
    <w:rsid w:val="00BF6518"/>
    <w:rsid w:val="00BF7FC6"/>
    <w:rsid w:val="00C01DA2"/>
    <w:rsid w:val="00C020F9"/>
    <w:rsid w:val="00C0380D"/>
    <w:rsid w:val="00C0383A"/>
    <w:rsid w:val="00C03FE1"/>
    <w:rsid w:val="00C048B1"/>
    <w:rsid w:val="00C0539B"/>
    <w:rsid w:val="00C056EE"/>
    <w:rsid w:val="00C05C8D"/>
    <w:rsid w:val="00C05CB7"/>
    <w:rsid w:val="00C07B14"/>
    <w:rsid w:val="00C1063E"/>
    <w:rsid w:val="00C10713"/>
    <w:rsid w:val="00C117A2"/>
    <w:rsid w:val="00C131FB"/>
    <w:rsid w:val="00C13523"/>
    <w:rsid w:val="00C15341"/>
    <w:rsid w:val="00C20E1F"/>
    <w:rsid w:val="00C21258"/>
    <w:rsid w:val="00C215E3"/>
    <w:rsid w:val="00C234E3"/>
    <w:rsid w:val="00C25E93"/>
    <w:rsid w:val="00C3153E"/>
    <w:rsid w:val="00C37429"/>
    <w:rsid w:val="00C40103"/>
    <w:rsid w:val="00C411E5"/>
    <w:rsid w:val="00C417AD"/>
    <w:rsid w:val="00C452B7"/>
    <w:rsid w:val="00C45A12"/>
    <w:rsid w:val="00C46DC8"/>
    <w:rsid w:val="00C500B1"/>
    <w:rsid w:val="00C500DE"/>
    <w:rsid w:val="00C51B02"/>
    <w:rsid w:val="00C51F56"/>
    <w:rsid w:val="00C53B85"/>
    <w:rsid w:val="00C53BA5"/>
    <w:rsid w:val="00C53E7F"/>
    <w:rsid w:val="00C53F5E"/>
    <w:rsid w:val="00C543EA"/>
    <w:rsid w:val="00C56C4B"/>
    <w:rsid w:val="00C577CE"/>
    <w:rsid w:val="00C60BB5"/>
    <w:rsid w:val="00C62FBC"/>
    <w:rsid w:val="00C630C0"/>
    <w:rsid w:val="00C65FAA"/>
    <w:rsid w:val="00C67111"/>
    <w:rsid w:val="00C6749A"/>
    <w:rsid w:val="00C67938"/>
    <w:rsid w:val="00C72619"/>
    <w:rsid w:val="00C7317A"/>
    <w:rsid w:val="00C74A60"/>
    <w:rsid w:val="00C76857"/>
    <w:rsid w:val="00C77B4B"/>
    <w:rsid w:val="00C77FD7"/>
    <w:rsid w:val="00C81ECD"/>
    <w:rsid w:val="00C84EF2"/>
    <w:rsid w:val="00C8530A"/>
    <w:rsid w:val="00C8595C"/>
    <w:rsid w:val="00C87CFF"/>
    <w:rsid w:val="00C90E68"/>
    <w:rsid w:val="00C91EEF"/>
    <w:rsid w:val="00C92B04"/>
    <w:rsid w:val="00C93302"/>
    <w:rsid w:val="00C946C6"/>
    <w:rsid w:val="00C96476"/>
    <w:rsid w:val="00C966E5"/>
    <w:rsid w:val="00C9746E"/>
    <w:rsid w:val="00C97D01"/>
    <w:rsid w:val="00CA07E5"/>
    <w:rsid w:val="00CA124D"/>
    <w:rsid w:val="00CA2F94"/>
    <w:rsid w:val="00CA30BC"/>
    <w:rsid w:val="00CA46BA"/>
    <w:rsid w:val="00CA5643"/>
    <w:rsid w:val="00CA5CD4"/>
    <w:rsid w:val="00CB0602"/>
    <w:rsid w:val="00CB2706"/>
    <w:rsid w:val="00CB32BB"/>
    <w:rsid w:val="00CB53CC"/>
    <w:rsid w:val="00CB77AC"/>
    <w:rsid w:val="00CC0045"/>
    <w:rsid w:val="00CC02B6"/>
    <w:rsid w:val="00CC0515"/>
    <w:rsid w:val="00CC0BA0"/>
    <w:rsid w:val="00CC112F"/>
    <w:rsid w:val="00CC1EDA"/>
    <w:rsid w:val="00CC218A"/>
    <w:rsid w:val="00CC3230"/>
    <w:rsid w:val="00CC4394"/>
    <w:rsid w:val="00CC44AE"/>
    <w:rsid w:val="00CC5671"/>
    <w:rsid w:val="00CC68F4"/>
    <w:rsid w:val="00CC770D"/>
    <w:rsid w:val="00CD1E58"/>
    <w:rsid w:val="00CD3365"/>
    <w:rsid w:val="00CD471E"/>
    <w:rsid w:val="00CD482D"/>
    <w:rsid w:val="00CD48A2"/>
    <w:rsid w:val="00CD4FD0"/>
    <w:rsid w:val="00CD5669"/>
    <w:rsid w:val="00CD5C3B"/>
    <w:rsid w:val="00CD7A14"/>
    <w:rsid w:val="00CE01D5"/>
    <w:rsid w:val="00CE0E5F"/>
    <w:rsid w:val="00CE2FCF"/>
    <w:rsid w:val="00CE318F"/>
    <w:rsid w:val="00CE5461"/>
    <w:rsid w:val="00CE61A5"/>
    <w:rsid w:val="00CE6B10"/>
    <w:rsid w:val="00CE6C4B"/>
    <w:rsid w:val="00CF0162"/>
    <w:rsid w:val="00CF36D8"/>
    <w:rsid w:val="00CF43C8"/>
    <w:rsid w:val="00CF46D5"/>
    <w:rsid w:val="00CF4736"/>
    <w:rsid w:val="00CF520D"/>
    <w:rsid w:val="00CF7ADB"/>
    <w:rsid w:val="00CF7C58"/>
    <w:rsid w:val="00D0033D"/>
    <w:rsid w:val="00D006B0"/>
    <w:rsid w:val="00D00BE4"/>
    <w:rsid w:val="00D02560"/>
    <w:rsid w:val="00D04092"/>
    <w:rsid w:val="00D04121"/>
    <w:rsid w:val="00D051E7"/>
    <w:rsid w:val="00D0793C"/>
    <w:rsid w:val="00D07B26"/>
    <w:rsid w:val="00D07F9F"/>
    <w:rsid w:val="00D111BB"/>
    <w:rsid w:val="00D1246C"/>
    <w:rsid w:val="00D12661"/>
    <w:rsid w:val="00D13E2C"/>
    <w:rsid w:val="00D14FF6"/>
    <w:rsid w:val="00D155CF"/>
    <w:rsid w:val="00D1702F"/>
    <w:rsid w:val="00D170E0"/>
    <w:rsid w:val="00D20EEA"/>
    <w:rsid w:val="00D21531"/>
    <w:rsid w:val="00D229F0"/>
    <w:rsid w:val="00D22E5F"/>
    <w:rsid w:val="00D23291"/>
    <w:rsid w:val="00D23533"/>
    <w:rsid w:val="00D2422B"/>
    <w:rsid w:val="00D24B67"/>
    <w:rsid w:val="00D25C54"/>
    <w:rsid w:val="00D336C9"/>
    <w:rsid w:val="00D338D3"/>
    <w:rsid w:val="00D339E1"/>
    <w:rsid w:val="00D33F03"/>
    <w:rsid w:val="00D35D7F"/>
    <w:rsid w:val="00D360C6"/>
    <w:rsid w:val="00D365C0"/>
    <w:rsid w:val="00D3662E"/>
    <w:rsid w:val="00D3693F"/>
    <w:rsid w:val="00D409F5"/>
    <w:rsid w:val="00D40B48"/>
    <w:rsid w:val="00D42D0E"/>
    <w:rsid w:val="00D445DC"/>
    <w:rsid w:val="00D446C4"/>
    <w:rsid w:val="00D44C4D"/>
    <w:rsid w:val="00D45287"/>
    <w:rsid w:val="00D4573D"/>
    <w:rsid w:val="00D46EEB"/>
    <w:rsid w:val="00D475F2"/>
    <w:rsid w:val="00D4768A"/>
    <w:rsid w:val="00D50683"/>
    <w:rsid w:val="00D5094C"/>
    <w:rsid w:val="00D5169E"/>
    <w:rsid w:val="00D519FF"/>
    <w:rsid w:val="00D52666"/>
    <w:rsid w:val="00D5274E"/>
    <w:rsid w:val="00D52819"/>
    <w:rsid w:val="00D53693"/>
    <w:rsid w:val="00D537A9"/>
    <w:rsid w:val="00D547AC"/>
    <w:rsid w:val="00D5490A"/>
    <w:rsid w:val="00D55357"/>
    <w:rsid w:val="00D55380"/>
    <w:rsid w:val="00D557A0"/>
    <w:rsid w:val="00D562FA"/>
    <w:rsid w:val="00D567DE"/>
    <w:rsid w:val="00D56DC5"/>
    <w:rsid w:val="00D60A82"/>
    <w:rsid w:val="00D61169"/>
    <w:rsid w:val="00D6122C"/>
    <w:rsid w:val="00D61F43"/>
    <w:rsid w:val="00D63F07"/>
    <w:rsid w:val="00D64751"/>
    <w:rsid w:val="00D654F0"/>
    <w:rsid w:val="00D664D5"/>
    <w:rsid w:val="00D66C0A"/>
    <w:rsid w:val="00D716D1"/>
    <w:rsid w:val="00D72E5B"/>
    <w:rsid w:val="00D745C3"/>
    <w:rsid w:val="00D75D8E"/>
    <w:rsid w:val="00D7611E"/>
    <w:rsid w:val="00D76FB8"/>
    <w:rsid w:val="00D8053D"/>
    <w:rsid w:val="00D806CD"/>
    <w:rsid w:val="00D80B1A"/>
    <w:rsid w:val="00D828CE"/>
    <w:rsid w:val="00D83F62"/>
    <w:rsid w:val="00D85C6B"/>
    <w:rsid w:val="00D86DAC"/>
    <w:rsid w:val="00D90AE9"/>
    <w:rsid w:val="00D90CAD"/>
    <w:rsid w:val="00D92A5C"/>
    <w:rsid w:val="00D9356F"/>
    <w:rsid w:val="00D93747"/>
    <w:rsid w:val="00D93C60"/>
    <w:rsid w:val="00D93FCC"/>
    <w:rsid w:val="00D94365"/>
    <w:rsid w:val="00D94388"/>
    <w:rsid w:val="00D944F3"/>
    <w:rsid w:val="00D9534E"/>
    <w:rsid w:val="00D953D9"/>
    <w:rsid w:val="00D955F1"/>
    <w:rsid w:val="00DA2236"/>
    <w:rsid w:val="00DA2485"/>
    <w:rsid w:val="00DA3338"/>
    <w:rsid w:val="00DA4B47"/>
    <w:rsid w:val="00DA4D00"/>
    <w:rsid w:val="00DA5FB5"/>
    <w:rsid w:val="00DB307A"/>
    <w:rsid w:val="00DB3203"/>
    <w:rsid w:val="00DB441E"/>
    <w:rsid w:val="00DB4DA3"/>
    <w:rsid w:val="00DB4E42"/>
    <w:rsid w:val="00DC1D5F"/>
    <w:rsid w:val="00DC1FAD"/>
    <w:rsid w:val="00DC20F9"/>
    <w:rsid w:val="00DC3E24"/>
    <w:rsid w:val="00DC46F4"/>
    <w:rsid w:val="00DC55D5"/>
    <w:rsid w:val="00DC56ED"/>
    <w:rsid w:val="00DC7F24"/>
    <w:rsid w:val="00DD08E7"/>
    <w:rsid w:val="00DD47E5"/>
    <w:rsid w:val="00DD4E97"/>
    <w:rsid w:val="00DD52DE"/>
    <w:rsid w:val="00DD7107"/>
    <w:rsid w:val="00DE28C4"/>
    <w:rsid w:val="00DE29A8"/>
    <w:rsid w:val="00DE416B"/>
    <w:rsid w:val="00DE4225"/>
    <w:rsid w:val="00DE6006"/>
    <w:rsid w:val="00DE7A57"/>
    <w:rsid w:val="00DE7C1A"/>
    <w:rsid w:val="00DF1747"/>
    <w:rsid w:val="00DF17E6"/>
    <w:rsid w:val="00DF43EA"/>
    <w:rsid w:val="00DF52BC"/>
    <w:rsid w:val="00DF5FB1"/>
    <w:rsid w:val="00DF6789"/>
    <w:rsid w:val="00DF7393"/>
    <w:rsid w:val="00DF781B"/>
    <w:rsid w:val="00DF7EDC"/>
    <w:rsid w:val="00E0053F"/>
    <w:rsid w:val="00E009F3"/>
    <w:rsid w:val="00E00DDC"/>
    <w:rsid w:val="00E01FA7"/>
    <w:rsid w:val="00E0274F"/>
    <w:rsid w:val="00E0432C"/>
    <w:rsid w:val="00E048E5"/>
    <w:rsid w:val="00E05F38"/>
    <w:rsid w:val="00E061F3"/>
    <w:rsid w:val="00E07B26"/>
    <w:rsid w:val="00E07F21"/>
    <w:rsid w:val="00E13FB6"/>
    <w:rsid w:val="00E1487A"/>
    <w:rsid w:val="00E14CC2"/>
    <w:rsid w:val="00E16DAB"/>
    <w:rsid w:val="00E16FAF"/>
    <w:rsid w:val="00E2006D"/>
    <w:rsid w:val="00E22756"/>
    <w:rsid w:val="00E25815"/>
    <w:rsid w:val="00E26F1D"/>
    <w:rsid w:val="00E3140F"/>
    <w:rsid w:val="00E31A51"/>
    <w:rsid w:val="00E31F6C"/>
    <w:rsid w:val="00E3275C"/>
    <w:rsid w:val="00E33021"/>
    <w:rsid w:val="00E33342"/>
    <w:rsid w:val="00E3344C"/>
    <w:rsid w:val="00E339BB"/>
    <w:rsid w:val="00E34F21"/>
    <w:rsid w:val="00E35CC1"/>
    <w:rsid w:val="00E35FA4"/>
    <w:rsid w:val="00E40738"/>
    <w:rsid w:val="00E42B06"/>
    <w:rsid w:val="00E43A6D"/>
    <w:rsid w:val="00E43C88"/>
    <w:rsid w:val="00E441FA"/>
    <w:rsid w:val="00E45060"/>
    <w:rsid w:val="00E47625"/>
    <w:rsid w:val="00E535E4"/>
    <w:rsid w:val="00E543F8"/>
    <w:rsid w:val="00E55DD8"/>
    <w:rsid w:val="00E56F4D"/>
    <w:rsid w:val="00E57F4D"/>
    <w:rsid w:val="00E57FDC"/>
    <w:rsid w:val="00E57FEA"/>
    <w:rsid w:val="00E600D2"/>
    <w:rsid w:val="00E60ED6"/>
    <w:rsid w:val="00E611C6"/>
    <w:rsid w:val="00E62037"/>
    <w:rsid w:val="00E63C19"/>
    <w:rsid w:val="00E64DD1"/>
    <w:rsid w:val="00E65773"/>
    <w:rsid w:val="00E65A5A"/>
    <w:rsid w:val="00E65DE3"/>
    <w:rsid w:val="00E6719F"/>
    <w:rsid w:val="00E726D8"/>
    <w:rsid w:val="00E72946"/>
    <w:rsid w:val="00E72C1B"/>
    <w:rsid w:val="00E757E9"/>
    <w:rsid w:val="00E7593F"/>
    <w:rsid w:val="00E768F9"/>
    <w:rsid w:val="00E771B0"/>
    <w:rsid w:val="00E77F8A"/>
    <w:rsid w:val="00E80F30"/>
    <w:rsid w:val="00E8219A"/>
    <w:rsid w:val="00E82761"/>
    <w:rsid w:val="00E829CB"/>
    <w:rsid w:val="00E8554D"/>
    <w:rsid w:val="00E859F8"/>
    <w:rsid w:val="00E85E8A"/>
    <w:rsid w:val="00E875DE"/>
    <w:rsid w:val="00E87C9B"/>
    <w:rsid w:val="00E9018A"/>
    <w:rsid w:val="00E922FC"/>
    <w:rsid w:val="00E93090"/>
    <w:rsid w:val="00E93993"/>
    <w:rsid w:val="00E93C34"/>
    <w:rsid w:val="00EA2BCA"/>
    <w:rsid w:val="00EA2C71"/>
    <w:rsid w:val="00EA5972"/>
    <w:rsid w:val="00EA7E56"/>
    <w:rsid w:val="00EB021E"/>
    <w:rsid w:val="00EB05ED"/>
    <w:rsid w:val="00EB0C4B"/>
    <w:rsid w:val="00EB0DC4"/>
    <w:rsid w:val="00EB0E52"/>
    <w:rsid w:val="00EB11C7"/>
    <w:rsid w:val="00EB1F77"/>
    <w:rsid w:val="00EB506E"/>
    <w:rsid w:val="00EC3893"/>
    <w:rsid w:val="00EC3E70"/>
    <w:rsid w:val="00EC63A7"/>
    <w:rsid w:val="00ED0D35"/>
    <w:rsid w:val="00ED1E20"/>
    <w:rsid w:val="00ED2FB9"/>
    <w:rsid w:val="00ED4C47"/>
    <w:rsid w:val="00ED4D48"/>
    <w:rsid w:val="00ED70B4"/>
    <w:rsid w:val="00EE2A0A"/>
    <w:rsid w:val="00EE2DA4"/>
    <w:rsid w:val="00EE3A4D"/>
    <w:rsid w:val="00EE4005"/>
    <w:rsid w:val="00EE4C19"/>
    <w:rsid w:val="00EE5011"/>
    <w:rsid w:val="00EE774B"/>
    <w:rsid w:val="00EF0A86"/>
    <w:rsid w:val="00EF170D"/>
    <w:rsid w:val="00EF19BF"/>
    <w:rsid w:val="00EF23AC"/>
    <w:rsid w:val="00EF33E9"/>
    <w:rsid w:val="00EF36DF"/>
    <w:rsid w:val="00EF65C0"/>
    <w:rsid w:val="00EF7348"/>
    <w:rsid w:val="00EF7534"/>
    <w:rsid w:val="00EF7B68"/>
    <w:rsid w:val="00EF7BA0"/>
    <w:rsid w:val="00F00972"/>
    <w:rsid w:val="00F01B20"/>
    <w:rsid w:val="00F02047"/>
    <w:rsid w:val="00F032DB"/>
    <w:rsid w:val="00F0346D"/>
    <w:rsid w:val="00F03CD9"/>
    <w:rsid w:val="00F03F58"/>
    <w:rsid w:val="00F05511"/>
    <w:rsid w:val="00F05EB5"/>
    <w:rsid w:val="00F06C75"/>
    <w:rsid w:val="00F0711F"/>
    <w:rsid w:val="00F0715F"/>
    <w:rsid w:val="00F071CD"/>
    <w:rsid w:val="00F10C7F"/>
    <w:rsid w:val="00F11612"/>
    <w:rsid w:val="00F124CD"/>
    <w:rsid w:val="00F127FE"/>
    <w:rsid w:val="00F1285B"/>
    <w:rsid w:val="00F12BC9"/>
    <w:rsid w:val="00F14DB7"/>
    <w:rsid w:val="00F14F6E"/>
    <w:rsid w:val="00F20994"/>
    <w:rsid w:val="00F20B15"/>
    <w:rsid w:val="00F226ED"/>
    <w:rsid w:val="00F2281C"/>
    <w:rsid w:val="00F22C96"/>
    <w:rsid w:val="00F22ED1"/>
    <w:rsid w:val="00F24866"/>
    <w:rsid w:val="00F24B9B"/>
    <w:rsid w:val="00F27225"/>
    <w:rsid w:val="00F30258"/>
    <w:rsid w:val="00F30C20"/>
    <w:rsid w:val="00F313E2"/>
    <w:rsid w:val="00F32B6C"/>
    <w:rsid w:val="00F3547C"/>
    <w:rsid w:val="00F361E3"/>
    <w:rsid w:val="00F36305"/>
    <w:rsid w:val="00F401C9"/>
    <w:rsid w:val="00F407D9"/>
    <w:rsid w:val="00F41844"/>
    <w:rsid w:val="00F41E24"/>
    <w:rsid w:val="00F45A66"/>
    <w:rsid w:val="00F474CA"/>
    <w:rsid w:val="00F47A5A"/>
    <w:rsid w:val="00F504AD"/>
    <w:rsid w:val="00F51460"/>
    <w:rsid w:val="00F52445"/>
    <w:rsid w:val="00F54EDC"/>
    <w:rsid w:val="00F60380"/>
    <w:rsid w:val="00F60526"/>
    <w:rsid w:val="00F60AEC"/>
    <w:rsid w:val="00F6130E"/>
    <w:rsid w:val="00F61EE2"/>
    <w:rsid w:val="00F61F23"/>
    <w:rsid w:val="00F625E4"/>
    <w:rsid w:val="00F64260"/>
    <w:rsid w:val="00F64B00"/>
    <w:rsid w:val="00F65C61"/>
    <w:rsid w:val="00F66421"/>
    <w:rsid w:val="00F67759"/>
    <w:rsid w:val="00F72551"/>
    <w:rsid w:val="00F72AF1"/>
    <w:rsid w:val="00F73484"/>
    <w:rsid w:val="00F73635"/>
    <w:rsid w:val="00F748B8"/>
    <w:rsid w:val="00F75069"/>
    <w:rsid w:val="00F75123"/>
    <w:rsid w:val="00F753BB"/>
    <w:rsid w:val="00F76090"/>
    <w:rsid w:val="00F77C8E"/>
    <w:rsid w:val="00F80464"/>
    <w:rsid w:val="00F8342E"/>
    <w:rsid w:val="00F83D75"/>
    <w:rsid w:val="00F8456D"/>
    <w:rsid w:val="00F847C6"/>
    <w:rsid w:val="00F84879"/>
    <w:rsid w:val="00F87217"/>
    <w:rsid w:val="00F87CC2"/>
    <w:rsid w:val="00F9063F"/>
    <w:rsid w:val="00F90B81"/>
    <w:rsid w:val="00F912E2"/>
    <w:rsid w:val="00F91DD6"/>
    <w:rsid w:val="00F92993"/>
    <w:rsid w:val="00F9528D"/>
    <w:rsid w:val="00F96F2A"/>
    <w:rsid w:val="00F97818"/>
    <w:rsid w:val="00FA1933"/>
    <w:rsid w:val="00FA271F"/>
    <w:rsid w:val="00FA7E6B"/>
    <w:rsid w:val="00FA7E7A"/>
    <w:rsid w:val="00FB0E0E"/>
    <w:rsid w:val="00FB0EBD"/>
    <w:rsid w:val="00FB151D"/>
    <w:rsid w:val="00FB27E2"/>
    <w:rsid w:val="00FB2D03"/>
    <w:rsid w:val="00FB44B4"/>
    <w:rsid w:val="00FB44BC"/>
    <w:rsid w:val="00FB4F69"/>
    <w:rsid w:val="00FB4FB0"/>
    <w:rsid w:val="00FB5BC6"/>
    <w:rsid w:val="00FB73F4"/>
    <w:rsid w:val="00FB784C"/>
    <w:rsid w:val="00FC271A"/>
    <w:rsid w:val="00FC3252"/>
    <w:rsid w:val="00FC4899"/>
    <w:rsid w:val="00FC4A60"/>
    <w:rsid w:val="00FC532D"/>
    <w:rsid w:val="00FC7074"/>
    <w:rsid w:val="00FC7FE3"/>
    <w:rsid w:val="00FD0FA7"/>
    <w:rsid w:val="00FD159E"/>
    <w:rsid w:val="00FD3C9B"/>
    <w:rsid w:val="00FD3D7B"/>
    <w:rsid w:val="00FD4076"/>
    <w:rsid w:val="00FD6F07"/>
    <w:rsid w:val="00FD7156"/>
    <w:rsid w:val="00FE0B80"/>
    <w:rsid w:val="00FE21DA"/>
    <w:rsid w:val="00FE2D09"/>
    <w:rsid w:val="00FE2E38"/>
    <w:rsid w:val="00FE37C0"/>
    <w:rsid w:val="00FE3E44"/>
    <w:rsid w:val="00FE47EF"/>
    <w:rsid w:val="00FE4E97"/>
    <w:rsid w:val="00FE51E3"/>
    <w:rsid w:val="00FE5708"/>
    <w:rsid w:val="00FE5D7D"/>
    <w:rsid w:val="00FE5F9F"/>
    <w:rsid w:val="00FE7749"/>
    <w:rsid w:val="00FF1AE9"/>
    <w:rsid w:val="00FF1DE6"/>
    <w:rsid w:val="00FF44B7"/>
    <w:rsid w:val="00FF489E"/>
    <w:rsid w:val="00FF4A35"/>
    <w:rsid w:val="00FF4EFD"/>
    <w:rsid w:val="00FF5CD6"/>
    <w:rsid w:val="00FF5E86"/>
    <w:rsid w:val="0111226B"/>
    <w:rsid w:val="02580567"/>
    <w:rsid w:val="054F08A2"/>
    <w:rsid w:val="06285F4E"/>
    <w:rsid w:val="07971403"/>
    <w:rsid w:val="08343807"/>
    <w:rsid w:val="085E53BC"/>
    <w:rsid w:val="08B35053"/>
    <w:rsid w:val="08B42AD4"/>
    <w:rsid w:val="096009EF"/>
    <w:rsid w:val="096131D0"/>
    <w:rsid w:val="09C37C9F"/>
    <w:rsid w:val="0AC402B6"/>
    <w:rsid w:val="0AFE5977"/>
    <w:rsid w:val="0BBB5D6B"/>
    <w:rsid w:val="0DBA406A"/>
    <w:rsid w:val="0F833182"/>
    <w:rsid w:val="0F9977AB"/>
    <w:rsid w:val="0FBA585B"/>
    <w:rsid w:val="10337787"/>
    <w:rsid w:val="113B6D4F"/>
    <w:rsid w:val="12042BD6"/>
    <w:rsid w:val="122E248A"/>
    <w:rsid w:val="129F0DE9"/>
    <w:rsid w:val="12AA54A1"/>
    <w:rsid w:val="13B079DA"/>
    <w:rsid w:val="13F413C8"/>
    <w:rsid w:val="14C0309A"/>
    <w:rsid w:val="15B95830"/>
    <w:rsid w:val="167D4675"/>
    <w:rsid w:val="16C23AE4"/>
    <w:rsid w:val="16E139B2"/>
    <w:rsid w:val="17BB3CFC"/>
    <w:rsid w:val="194179E4"/>
    <w:rsid w:val="19807583"/>
    <w:rsid w:val="1A6361D9"/>
    <w:rsid w:val="1A7A6239"/>
    <w:rsid w:val="1B2649F0"/>
    <w:rsid w:val="1B7802A0"/>
    <w:rsid w:val="1BB10F89"/>
    <w:rsid w:val="1C566162"/>
    <w:rsid w:val="1CF15889"/>
    <w:rsid w:val="1F871262"/>
    <w:rsid w:val="1FD06C40"/>
    <w:rsid w:val="1FE26B5A"/>
    <w:rsid w:val="20932EF3"/>
    <w:rsid w:val="20DD083D"/>
    <w:rsid w:val="21120A3E"/>
    <w:rsid w:val="216B5EA9"/>
    <w:rsid w:val="22407BB4"/>
    <w:rsid w:val="22A66D43"/>
    <w:rsid w:val="22B049C3"/>
    <w:rsid w:val="230E7092"/>
    <w:rsid w:val="23A842C5"/>
    <w:rsid w:val="2538081E"/>
    <w:rsid w:val="26582D8F"/>
    <w:rsid w:val="26D37B1F"/>
    <w:rsid w:val="28250EDF"/>
    <w:rsid w:val="28516241"/>
    <w:rsid w:val="28F831EF"/>
    <w:rsid w:val="296A5517"/>
    <w:rsid w:val="29E7224E"/>
    <w:rsid w:val="2A1F4553"/>
    <w:rsid w:val="2A6E122D"/>
    <w:rsid w:val="2A9A6739"/>
    <w:rsid w:val="2DFD2DFD"/>
    <w:rsid w:val="2EA50592"/>
    <w:rsid w:val="2ECE7CE9"/>
    <w:rsid w:val="2EF51A32"/>
    <w:rsid w:val="2F997AEB"/>
    <w:rsid w:val="30463939"/>
    <w:rsid w:val="304E16EE"/>
    <w:rsid w:val="3053532D"/>
    <w:rsid w:val="31C97E3A"/>
    <w:rsid w:val="32A77828"/>
    <w:rsid w:val="35F6109F"/>
    <w:rsid w:val="36FA64BE"/>
    <w:rsid w:val="36FC1E04"/>
    <w:rsid w:val="38B25F03"/>
    <w:rsid w:val="3A195161"/>
    <w:rsid w:val="3B3F2A03"/>
    <w:rsid w:val="3BE5269C"/>
    <w:rsid w:val="3CD105B7"/>
    <w:rsid w:val="3D0F66A9"/>
    <w:rsid w:val="3D72615D"/>
    <w:rsid w:val="40EE0612"/>
    <w:rsid w:val="42464FC0"/>
    <w:rsid w:val="42C8119D"/>
    <w:rsid w:val="43842C2B"/>
    <w:rsid w:val="438837D9"/>
    <w:rsid w:val="445E71E8"/>
    <w:rsid w:val="44B50BE9"/>
    <w:rsid w:val="45B43E19"/>
    <w:rsid w:val="45FA362B"/>
    <w:rsid w:val="47792BB2"/>
    <w:rsid w:val="481A57D7"/>
    <w:rsid w:val="491B6283"/>
    <w:rsid w:val="49732801"/>
    <w:rsid w:val="4B0D529A"/>
    <w:rsid w:val="4BD96800"/>
    <w:rsid w:val="4BEB37EC"/>
    <w:rsid w:val="4C361B10"/>
    <w:rsid w:val="4CB83FC0"/>
    <w:rsid w:val="4DA84E33"/>
    <w:rsid w:val="4E3953C0"/>
    <w:rsid w:val="50175272"/>
    <w:rsid w:val="505E30B1"/>
    <w:rsid w:val="52912BD7"/>
    <w:rsid w:val="53400FA2"/>
    <w:rsid w:val="535A53CF"/>
    <w:rsid w:val="53E1087E"/>
    <w:rsid w:val="561F74C1"/>
    <w:rsid w:val="5691575D"/>
    <w:rsid w:val="57133106"/>
    <w:rsid w:val="58DA55F2"/>
    <w:rsid w:val="5D525F29"/>
    <w:rsid w:val="5E3D71AC"/>
    <w:rsid w:val="5EE42E3D"/>
    <w:rsid w:val="605427CD"/>
    <w:rsid w:val="61837C81"/>
    <w:rsid w:val="63AD4F94"/>
    <w:rsid w:val="63F47D1F"/>
    <w:rsid w:val="671C0DC8"/>
    <w:rsid w:val="675363E3"/>
    <w:rsid w:val="69037367"/>
    <w:rsid w:val="6A1B14CE"/>
    <w:rsid w:val="6B175F7C"/>
    <w:rsid w:val="6BB903D8"/>
    <w:rsid w:val="6C0341C4"/>
    <w:rsid w:val="6D365039"/>
    <w:rsid w:val="6D8259F3"/>
    <w:rsid w:val="6DAE466C"/>
    <w:rsid w:val="6DCD1231"/>
    <w:rsid w:val="6E6C13EC"/>
    <w:rsid w:val="6FD830FB"/>
    <w:rsid w:val="70CD1B9F"/>
    <w:rsid w:val="73073E7D"/>
    <w:rsid w:val="736114D8"/>
    <w:rsid w:val="7377757F"/>
    <w:rsid w:val="73B9342A"/>
    <w:rsid w:val="73C7536F"/>
    <w:rsid w:val="744516AF"/>
    <w:rsid w:val="76882384"/>
    <w:rsid w:val="77253507"/>
    <w:rsid w:val="796F0365"/>
    <w:rsid w:val="7A726172"/>
    <w:rsid w:val="7AC5601E"/>
    <w:rsid w:val="7D261DB4"/>
    <w:rsid w:val="7DDC070D"/>
    <w:rsid w:val="7DE35B0A"/>
    <w:rsid w:val="7E6B3474"/>
    <w:rsid w:val="7FFC2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00" w:lineRule="exact"/>
      <w:ind w:firstLine="200" w:firstLineChars="200"/>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spacing w:before="240" w:after="240" w:line="600" w:lineRule="exact"/>
      <w:ind w:firstLine="0" w:firstLineChars="0"/>
      <w:jc w:val="center"/>
      <w:outlineLvl w:val="0"/>
    </w:pPr>
    <w:rPr>
      <w:b/>
      <w:bCs/>
      <w:kern w:val="44"/>
      <w:sz w:val="44"/>
      <w:szCs w:val="44"/>
    </w:rPr>
  </w:style>
  <w:style w:type="paragraph" w:styleId="3">
    <w:name w:val="heading 2"/>
    <w:basedOn w:val="1"/>
    <w:next w:val="1"/>
    <w:qFormat/>
    <w:uiPriority w:val="0"/>
    <w:pPr>
      <w:keepNext/>
      <w:keepLines/>
      <w:spacing w:before="240" w:after="240" w:line="600" w:lineRule="exact"/>
      <w:jc w:val="center"/>
      <w:outlineLvl w:val="1"/>
    </w:pPr>
    <w:rPr>
      <w:rFonts w:ascii="Arial" w:hAnsi="Arial"/>
      <w:b/>
      <w:bCs/>
      <w:sz w:val="28"/>
      <w:szCs w:val="32"/>
    </w:rPr>
  </w:style>
  <w:style w:type="paragraph" w:styleId="4">
    <w:name w:val="heading 3"/>
    <w:basedOn w:val="1"/>
    <w:next w:val="1"/>
    <w:link w:val="40"/>
    <w:qFormat/>
    <w:uiPriority w:val="0"/>
    <w:pPr>
      <w:keepNext/>
      <w:keepLines/>
      <w:spacing w:before="260" w:after="260" w:line="600" w:lineRule="exact"/>
      <w:outlineLvl w:val="2"/>
    </w:pPr>
    <w:rPr>
      <w:b/>
      <w:bCs/>
      <w:szCs w:val="32"/>
      <w:lang w:val="zh-CN"/>
    </w:rPr>
  </w:style>
  <w:style w:type="character" w:default="1" w:styleId="36">
    <w:name w:val="Default Paragraph Font"/>
    <w:semiHidden/>
    <w:unhideWhenUsed/>
    <w:qFormat/>
    <w:uiPriority w:val="1"/>
  </w:style>
  <w:style w:type="table" w:default="1" w:styleId="34">
    <w:name w:val="Normal Table"/>
    <w:semiHidden/>
    <w:unhideWhenUsed/>
    <w:uiPriority w:val="99"/>
    <w:tblPr>
      <w:tblCellMar>
        <w:top w:w="0" w:type="dxa"/>
        <w:left w:w="108" w:type="dxa"/>
        <w:bottom w:w="0" w:type="dxa"/>
        <w:right w:w="108" w:type="dxa"/>
      </w:tblCellMar>
    </w:tblPr>
  </w:style>
  <w:style w:type="paragraph" w:styleId="5">
    <w:name w:val="toc 7"/>
    <w:basedOn w:val="1"/>
    <w:next w:val="1"/>
    <w:unhideWhenUsed/>
    <w:uiPriority w:val="39"/>
    <w:pPr>
      <w:ind w:left="2520" w:leftChars="1200"/>
    </w:pPr>
    <w:rPr>
      <w:rFonts w:ascii="Calibri" w:hAnsi="Calibri"/>
      <w:szCs w:val="22"/>
    </w:rPr>
  </w:style>
  <w:style w:type="paragraph" w:styleId="6">
    <w:name w:val="index 8"/>
    <w:basedOn w:val="1"/>
    <w:next w:val="1"/>
    <w:qFormat/>
    <w:uiPriority w:val="0"/>
    <w:pPr>
      <w:ind w:left="1400" w:leftChars="1400"/>
    </w:pPr>
  </w:style>
  <w:style w:type="paragraph" w:styleId="7">
    <w:name w:val="Normal Indent"/>
    <w:basedOn w:val="1"/>
    <w:link w:val="41"/>
    <w:qFormat/>
    <w:uiPriority w:val="0"/>
    <w:pPr>
      <w:ind w:firstLine="420"/>
    </w:pPr>
    <w:rPr>
      <w:sz w:val="21"/>
    </w:rPr>
  </w:style>
  <w:style w:type="paragraph" w:styleId="8">
    <w:name w:val="Document Map"/>
    <w:basedOn w:val="1"/>
    <w:link w:val="42"/>
    <w:qFormat/>
    <w:uiPriority w:val="0"/>
    <w:pPr>
      <w:shd w:val="clear" w:color="auto" w:fill="000080"/>
    </w:pPr>
    <w:rPr>
      <w:sz w:val="21"/>
      <w:lang w:val="zh-CN"/>
    </w:rPr>
  </w:style>
  <w:style w:type="paragraph" w:styleId="9">
    <w:name w:val="annotation text"/>
    <w:basedOn w:val="1"/>
    <w:link w:val="43"/>
    <w:qFormat/>
    <w:uiPriority w:val="0"/>
    <w:rPr>
      <w:sz w:val="18"/>
      <w:szCs w:val="20"/>
      <w:lang w:val="zh-CN"/>
    </w:rPr>
  </w:style>
  <w:style w:type="paragraph" w:styleId="10">
    <w:name w:val="Body Text"/>
    <w:basedOn w:val="1"/>
    <w:next w:val="1"/>
    <w:link w:val="44"/>
    <w:qFormat/>
    <w:uiPriority w:val="0"/>
    <w:pPr>
      <w:spacing w:after="120"/>
    </w:pPr>
    <w:rPr>
      <w:sz w:val="21"/>
      <w:lang w:val="zh-CN"/>
    </w:rPr>
  </w:style>
  <w:style w:type="paragraph" w:styleId="11">
    <w:name w:val="Body Text Indent"/>
    <w:basedOn w:val="1"/>
    <w:link w:val="45"/>
    <w:qFormat/>
    <w:uiPriority w:val="0"/>
    <w:pPr>
      <w:ind w:firstLine="630"/>
    </w:pPr>
    <w:rPr>
      <w:sz w:val="32"/>
      <w:szCs w:val="20"/>
    </w:rPr>
  </w:style>
  <w:style w:type="paragraph" w:styleId="12">
    <w:name w:val="toc 5"/>
    <w:basedOn w:val="1"/>
    <w:next w:val="1"/>
    <w:unhideWhenUsed/>
    <w:qFormat/>
    <w:uiPriority w:val="39"/>
    <w:pPr>
      <w:ind w:left="1680" w:leftChars="800"/>
    </w:pPr>
    <w:rPr>
      <w:rFonts w:ascii="Calibri" w:hAnsi="Calibri"/>
      <w:szCs w:val="22"/>
    </w:rPr>
  </w:style>
  <w:style w:type="paragraph" w:styleId="13">
    <w:name w:val="toc 3"/>
    <w:basedOn w:val="1"/>
    <w:next w:val="1"/>
    <w:unhideWhenUsed/>
    <w:qFormat/>
    <w:uiPriority w:val="39"/>
    <w:pPr>
      <w:widowControl/>
      <w:spacing w:after="100" w:line="276" w:lineRule="auto"/>
      <w:ind w:left="440"/>
    </w:pPr>
    <w:rPr>
      <w:rFonts w:ascii="Calibri" w:hAnsi="Calibri"/>
      <w:kern w:val="0"/>
      <w:sz w:val="22"/>
      <w:szCs w:val="22"/>
    </w:rPr>
  </w:style>
  <w:style w:type="paragraph" w:styleId="14">
    <w:name w:val="Plain Text"/>
    <w:basedOn w:val="1"/>
    <w:link w:val="46"/>
    <w:qFormat/>
    <w:uiPriority w:val="0"/>
    <w:pPr>
      <w:autoSpaceDE w:val="0"/>
      <w:autoSpaceDN w:val="0"/>
      <w:adjustRightInd w:val="0"/>
    </w:pPr>
    <w:rPr>
      <w:rFonts w:ascii="宋体" w:hAnsi="Tms Rmn"/>
      <w:kern w:val="0"/>
      <w:sz w:val="21"/>
      <w:szCs w:val="20"/>
    </w:rPr>
  </w:style>
  <w:style w:type="paragraph" w:styleId="15">
    <w:name w:val="toc 8"/>
    <w:basedOn w:val="1"/>
    <w:next w:val="1"/>
    <w:unhideWhenUsed/>
    <w:qFormat/>
    <w:uiPriority w:val="39"/>
    <w:pPr>
      <w:ind w:left="2940" w:leftChars="1400"/>
    </w:pPr>
    <w:rPr>
      <w:rFonts w:ascii="Calibri" w:hAnsi="Calibri"/>
      <w:szCs w:val="22"/>
    </w:rPr>
  </w:style>
  <w:style w:type="paragraph" w:styleId="16">
    <w:name w:val="Date"/>
    <w:basedOn w:val="1"/>
    <w:next w:val="1"/>
    <w:link w:val="78"/>
    <w:qFormat/>
    <w:uiPriority w:val="0"/>
    <w:pPr>
      <w:ind w:left="100" w:leftChars="2500"/>
    </w:pPr>
  </w:style>
  <w:style w:type="paragraph" w:styleId="17">
    <w:name w:val="Body Text Indent 2"/>
    <w:basedOn w:val="1"/>
    <w:qFormat/>
    <w:uiPriority w:val="0"/>
    <w:pPr>
      <w:spacing w:after="120" w:line="480" w:lineRule="auto"/>
      <w:ind w:left="420" w:leftChars="200"/>
    </w:pPr>
  </w:style>
  <w:style w:type="paragraph" w:styleId="18">
    <w:name w:val="Balloon Text"/>
    <w:basedOn w:val="1"/>
    <w:semiHidden/>
    <w:qFormat/>
    <w:uiPriority w:val="0"/>
    <w:rPr>
      <w:sz w:val="18"/>
      <w:szCs w:val="18"/>
    </w:rPr>
  </w:style>
  <w:style w:type="paragraph" w:styleId="19">
    <w:name w:val="footer"/>
    <w:basedOn w:val="1"/>
    <w:link w:val="47"/>
    <w:qFormat/>
    <w:uiPriority w:val="99"/>
    <w:pPr>
      <w:tabs>
        <w:tab w:val="center" w:pos="4153"/>
        <w:tab w:val="right" w:pos="8306"/>
      </w:tabs>
      <w:snapToGrid w:val="0"/>
    </w:pPr>
    <w:rPr>
      <w:sz w:val="18"/>
      <w:szCs w:val="20"/>
    </w:rPr>
  </w:style>
  <w:style w:type="paragraph" w:styleId="20">
    <w:name w:val="header"/>
    <w:basedOn w:val="1"/>
    <w:link w:val="48"/>
    <w:qFormat/>
    <w:uiPriority w:val="0"/>
    <w:pPr>
      <w:pBdr>
        <w:bottom w:val="single" w:color="auto" w:sz="6" w:space="1"/>
      </w:pBdr>
      <w:tabs>
        <w:tab w:val="center" w:pos="4153"/>
        <w:tab w:val="right" w:pos="8306"/>
      </w:tabs>
      <w:snapToGrid w:val="0"/>
      <w:jc w:val="center"/>
    </w:pPr>
    <w:rPr>
      <w:sz w:val="18"/>
      <w:szCs w:val="20"/>
    </w:rPr>
  </w:style>
  <w:style w:type="paragraph" w:styleId="21">
    <w:name w:val="toc 1"/>
    <w:basedOn w:val="1"/>
    <w:next w:val="1"/>
    <w:unhideWhenUsed/>
    <w:qFormat/>
    <w:uiPriority w:val="39"/>
    <w:pPr>
      <w:widowControl/>
      <w:spacing w:after="100" w:line="276" w:lineRule="auto"/>
    </w:pPr>
    <w:rPr>
      <w:rFonts w:ascii="Calibri" w:hAnsi="Calibri"/>
      <w:kern w:val="0"/>
      <w:sz w:val="22"/>
      <w:szCs w:val="22"/>
    </w:rPr>
  </w:style>
  <w:style w:type="paragraph" w:styleId="22">
    <w:name w:val="toc 4"/>
    <w:basedOn w:val="1"/>
    <w:next w:val="1"/>
    <w:unhideWhenUsed/>
    <w:qFormat/>
    <w:uiPriority w:val="39"/>
    <w:pPr>
      <w:ind w:left="1260" w:leftChars="600"/>
    </w:pPr>
    <w:rPr>
      <w:rFonts w:ascii="Calibri" w:hAnsi="Calibri"/>
      <w:szCs w:val="22"/>
    </w:rPr>
  </w:style>
  <w:style w:type="paragraph" w:styleId="23">
    <w:name w:val="Subtitle"/>
    <w:basedOn w:val="1"/>
    <w:next w:val="1"/>
    <w:link w:val="49"/>
    <w:qFormat/>
    <w:uiPriority w:val="11"/>
    <w:pPr>
      <w:spacing w:before="240" w:after="60" w:line="312" w:lineRule="auto"/>
      <w:jc w:val="center"/>
      <w:outlineLvl w:val="1"/>
    </w:pPr>
    <w:rPr>
      <w:rFonts w:ascii="Cambria" w:hAnsi="Cambria"/>
      <w:b/>
      <w:bCs/>
      <w:kern w:val="28"/>
      <w:sz w:val="32"/>
      <w:szCs w:val="32"/>
      <w:lang w:val="zh-CN"/>
    </w:rPr>
  </w:style>
  <w:style w:type="paragraph" w:styleId="24">
    <w:name w:val="toc 6"/>
    <w:basedOn w:val="1"/>
    <w:next w:val="1"/>
    <w:unhideWhenUsed/>
    <w:qFormat/>
    <w:uiPriority w:val="39"/>
    <w:pPr>
      <w:ind w:left="2100" w:leftChars="1000"/>
    </w:pPr>
    <w:rPr>
      <w:rFonts w:ascii="Calibri" w:hAnsi="Calibri"/>
      <w:szCs w:val="22"/>
    </w:rPr>
  </w:style>
  <w:style w:type="paragraph" w:styleId="25">
    <w:name w:val="Body Text Indent 3"/>
    <w:basedOn w:val="1"/>
    <w:link w:val="50"/>
    <w:qFormat/>
    <w:uiPriority w:val="0"/>
    <w:pPr>
      <w:spacing w:after="120"/>
      <w:ind w:left="420" w:leftChars="200"/>
    </w:pPr>
    <w:rPr>
      <w:sz w:val="16"/>
      <w:szCs w:val="16"/>
      <w:lang w:val="zh-CN"/>
    </w:rPr>
  </w:style>
  <w:style w:type="paragraph" w:styleId="26">
    <w:name w:val="table of figures"/>
    <w:basedOn w:val="1"/>
    <w:next w:val="1"/>
    <w:unhideWhenUsed/>
    <w:qFormat/>
    <w:uiPriority w:val="99"/>
    <w:pPr>
      <w:ind w:left="200" w:leftChars="200" w:hanging="200" w:hangingChars="200"/>
    </w:pPr>
    <w:rPr>
      <w:rFonts w:ascii="Calibri" w:hAnsi="Calibri"/>
      <w:szCs w:val="22"/>
    </w:rPr>
  </w:style>
  <w:style w:type="paragraph" w:styleId="27">
    <w:name w:val="toc 2"/>
    <w:basedOn w:val="1"/>
    <w:next w:val="1"/>
    <w:unhideWhenUsed/>
    <w:qFormat/>
    <w:uiPriority w:val="39"/>
    <w:pPr>
      <w:widowControl/>
      <w:spacing w:after="100" w:line="276" w:lineRule="auto"/>
      <w:ind w:left="220"/>
    </w:pPr>
    <w:rPr>
      <w:rFonts w:ascii="Calibri" w:hAnsi="Calibri"/>
      <w:kern w:val="0"/>
      <w:sz w:val="22"/>
      <w:szCs w:val="22"/>
    </w:rPr>
  </w:style>
  <w:style w:type="paragraph" w:styleId="28">
    <w:name w:val="toc 9"/>
    <w:basedOn w:val="1"/>
    <w:next w:val="1"/>
    <w:unhideWhenUsed/>
    <w:qFormat/>
    <w:uiPriority w:val="39"/>
    <w:pPr>
      <w:ind w:left="3360" w:leftChars="1600"/>
    </w:pPr>
    <w:rPr>
      <w:rFonts w:ascii="Calibri" w:hAnsi="Calibri"/>
      <w:szCs w:val="22"/>
    </w:rPr>
  </w:style>
  <w:style w:type="paragraph" w:styleId="29">
    <w:name w:val="Body Text 2"/>
    <w:basedOn w:val="1"/>
    <w:link w:val="51"/>
    <w:qFormat/>
    <w:uiPriority w:val="0"/>
    <w:pPr>
      <w:spacing w:after="120" w:line="480" w:lineRule="auto"/>
    </w:pPr>
    <w:rPr>
      <w:rFonts w:ascii="??" w:hAnsi="??" w:eastAsia="Times New Roman"/>
      <w:sz w:val="21"/>
      <w:szCs w:val="22"/>
      <w:lang w:val="zh-CN"/>
    </w:rPr>
  </w:style>
  <w:style w:type="paragraph" w:styleId="30">
    <w:name w:val="HTML Preformatted"/>
    <w:basedOn w:val="1"/>
    <w:link w:val="8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pPr>
    <w:rPr>
      <w:rFonts w:ascii="Arial" w:hAnsi="Arial"/>
      <w:kern w:val="0"/>
    </w:rPr>
  </w:style>
  <w:style w:type="paragraph" w:styleId="31">
    <w:name w:val="Normal (Web)"/>
    <w:basedOn w:val="1"/>
    <w:qFormat/>
    <w:uiPriority w:val="0"/>
    <w:pPr>
      <w:widowControl/>
      <w:spacing w:before="100" w:beforeAutospacing="1" w:after="100" w:afterAutospacing="1"/>
    </w:pPr>
    <w:rPr>
      <w:rFonts w:ascii="宋体" w:hAnsi="宋体"/>
      <w:kern w:val="0"/>
      <w:sz w:val="18"/>
      <w:szCs w:val="18"/>
    </w:rPr>
  </w:style>
  <w:style w:type="paragraph" w:styleId="32">
    <w:name w:val="annotation subject"/>
    <w:basedOn w:val="9"/>
    <w:next w:val="9"/>
    <w:link w:val="52"/>
    <w:qFormat/>
    <w:uiPriority w:val="0"/>
    <w:rPr>
      <w:b/>
      <w:bCs/>
      <w:sz w:val="21"/>
      <w:szCs w:val="24"/>
    </w:rPr>
  </w:style>
  <w:style w:type="paragraph" w:styleId="33">
    <w:name w:val="Body Text First Indent"/>
    <w:basedOn w:val="10"/>
    <w:qFormat/>
    <w:uiPriority w:val="0"/>
    <w:pPr>
      <w:ind w:firstLine="420" w:firstLineChars="100"/>
    </w:pPr>
  </w:style>
  <w:style w:type="table" w:styleId="35">
    <w:name w:val="Table Grid"/>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page number"/>
    <w:qFormat/>
    <w:uiPriority w:val="0"/>
  </w:style>
  <w:style w:type="character" w:styleId="38">
    <w:name w:val="Hyperlink"/>
    <w:qFormat/>
    <w:uiPriority w:val="99"/>
    <w:rPr>
      <w:color w:val="0000FF"/>
      <w:u w:val="single"/>
    </w:rPr>
  </w:style>
  <w:style w:type="character" w:styleId="39">
    <w:name w:val="annotation reference"/>
    <w:qFormat/>
    <w:uiPriority w:val="0"/>
    <w:rPr>
      <w:sz w:val="21"/>
      <w:szCs w:val="21"/>
    </w:rPr>
  </w:style>
  <w:style w:type="character" w:customStyle="1" w:styleId="40">
    <w:name w:val="标题 3 字符"/>
    <w:link w:val="4"/>
    <w:qFormat/>
    <w:uiPriority w:val="0"/>
    <w:rPr>
      <w:b/>
      <w:bCs/>
      <w:kern w:val="2"/>
      <w:sz w:val="24"/>
      <w:szCs w:val="32"/>
    </w:rPr>
  </w:style>
  <w:style w:type="character" w:customStyle="1" w:styleId="41">
    <w:name w:val="正文缩进 字符"/>
    <w:link w:val="7"/>
    <w:qFormat/>
    <w:uiPriority w:val="0"/>
    <w:rPr>
      <w:rFonts w:eastAsia="宋体"/>
      <w:kern w:val="2"/>
      <w:sz w:val="21"/>
      <w:szCs w:val="24"/>
      <w:lang w:val="en-US" w:eastAsia="zh-CN" w:bidi="ar-SA"/>
    </w:rPr>
  </w:style>
  <w:style w:type="character" w:customStyle="1" w:styleId="42">
    <w:name w:val="文档结构图 字符"/>
    <w:link w:val="8"/>
    <w:qFormat/>
    <w:uiPriority w:val="0"/>
    <w:rPr>
      <w:kern w:val="2"/>
      <w:sz w:val="21"/>
      <w:szCs w:val="24"/>
      <w:shd w:val="clear" w:color="auto" w:fill="000080"/>
    </w:rPr>
  </w:style>
  <w:style w:type="character" w:customStyle="1" w:styleId="43">
    <w:name w:val="批注文字 字符"/>
    <w:link w:val="9"/>
    <w:qFormat/>
    <w:uiPriority w:val="0"/>
    <w:rPr>
      <w:kern w:val="2"/>
      <w:sz w:val="18"/>
      <w:lang w:bidi="ar-SA"/>
    </w:rPr>
  </w:style>
  <w:style w:type="character" w:customStyle="1" w:styleId="44">
    <w:name w:val="正文文本 字符"/>
    <w:link w:val="10"/>
    <w:qFormat/>
    <w:uiPriority w:val="0"/>
    <w:rPr>
      <w:kern w:val="2"/>
      <w:sz w:val="21"/>
      <w:szCs w:val="24"/>
    </w:rPr>
  </w:style>
  <w:style w:type="character" w:customStyle="1" w:styleId="45">
    <w:name w:val="正文文本缩进 字符"/>
    <w:link w:val="11"/>
    <w:qFormat/>
    <w:uiPriority w:val="0"/>
    <w:rPr>
      <w:rFonts w:eastAsia="宋体"/>
      <w:kern w:val="2"/>
      <w:sz w:val="32"/>
      <w:lang w:val="en-US" w:eastAsia="zh-CN" w:bidi="ar-SA"/>
    </w:rPr>
  </w:style>
  <w:style w:type="character" w:customStyle="1" w:styleId="46">
    <w:name w:val="纯文本 字符"/>
    <w:link w:val="14"/>
    <w:unhideWhenUsed/>
    <w:qFormat/>
    <w:uiPriority w:val="0"/>
    <w:rPr>
      <w:rFonts w:ascii="宋体" w:hAnsi="Tms Rmn" w:eastAsia="宋体"/>
      <w:sz w:val="21"/>
      <w:lang w:val="en-US" w:eastAsia="zh-CN" w:bidi="ar-SA"/>
    </w:rPr>
  </w:style>
  <w:style w:type="character" w:customStyle="1" w:styleId="47">
    <w:name w:val="页脚 字符"/>
    <w:link w:val="19"/>
    <w:qFormat/>
    <w:uiPriority w:val="99"/>
    <w:rPr>
      <w:rFonts w:eastAsia="宋体"/>
      <w:kern w:val="2"/>
      <w:sz w:val="18"/>
      <w:lang w:val="en-US" w:eastAsia="zh-CN" w:bidi="ar-SA"/>
    </w:rPr>
  </w:style>
  <w:style w:type="character" w:customStyle="1" w:styleId="48">
    <w:name w:val="页眉 字符"/>
    <w:link w:val="20"/>
    <w:qFormat/>
    <w:uiPriority w:val="0"/>
    <w:rPr>
      <w:rFonts w:eastAsia="宋体"/>
      <w:kern w:val="2"/>
      <w:sz w:val="18"/>
      <w:lang w:val="en-US" w:eastAsia="zh-CN" w:bidi="ar-SA"/>
    </w:rPr>
  </w:style>
  <w:style w:type="character" w:customStyle="1" w:styleId="49">
    <w:name w:val="副标题 字符"/>
    <w:link w:val="23"/>
    <w:qFormat/>
    <w:uiPriority w:val="11"/>
    <w:rPr>
      <w:rFonts w:ascii="Cambria" w:hAnsi="Cambria" w:cs="Times New Roman"/>
      <w:b/>
      <w:bCs/>
      <w:kern w:val="28"/>
      <w:sz w:val="32"/>
      <w:szCs w:val="32"/>
    </w:rPr>
  </w:style>
  <w:style w:type="character" w:customStyle="1" w:styleId="50">
    <w:name w:val="正文文本缩进 3 字符"/>
    <w:link w:val="25"/>
    <w:qFormat/>
    <w:uiPriority w:val="0"/>
    <w:rPr>
      <w:kern w:val="2"/>
      <w:sz w:val="16"/>
      <w:szCs w:val="16"/>
    </w:rPr>
  </w:style>
  <w:style w:type="character" w:customStyle="1" w:styleId="51">
    <w:name w:val="正文文本 2 字符"/>
    <w:link w:val="29"/>
    <w:qFormat/>
    <w:uiPriority w:val="0"/>
    <w:rPr>
      <w:rFonts w:ascii="??" w:hAnsi="??" w:eastAsia="Times New Roman"/>
      <w:kern w:val="2"/>
      <w:sz w:val="21"/>
      <w:szCs w:val="22"/>
    </w:rPr>
  </w:style>
  <w:style w:type="character" w:customStyle="1" w:styleId="52">
    <w:name w:val="批注主题 字符"/>
    <w:link w:val="32"/>
    <w:qFormat/>
    <w:uiPriority w:val="0"/>
    <w:rPr>
      <w:b/>
      <w:bCs/>
      <w:kern w:val="2"/>
      <w:sz w:val="21"/>
      <w:szCs w:val="24"/>
      <w:lang w:bidi="ar-SA"/>
    </w:rPr>
  </w:style>
  <w:style w:type="character" w:customStyle="1" w:styleId="53">
    <w:name w:val="已访问的超链接1"/>
    <w:qFormat/>
    <w:uiPriority w:val="0"/>
    <w:rPr>
      <w:color w:val="800080"/>
      <w:u w:val="single"/>
    </w:rPr>
  </w:style>
  <w:style w:type="character" w:customStyle="1" w:styleId="54">
    <w:name w:val="（符号）邀请函中一、"/>
    <w:qFormat/>
    <w:uiPriority w:val="0"/>
    <w:rPr>
      <w:rFonts w:ascii="黑体" w:hAnsi="黑体" w:eastAsia="黑体"/>
      <w:b/>
      <w:bCs/>
      <w:sz w:val="24"/>
    </w:rPr>
  </w:style>
  <w:style w:type="character" w:customStyle="1" w:styleId="55">
    <w:name w:val="Char Char9"/>
    <w:qFormat/>
    <w:uiPriority w:val="0"/>
    <w:rPr>
      <w:kern w:val="2"/>
      <w:sz w:val="21"/>
    </w:rPr>
  </w:style>
  <w:style w:type="character" w:customStyle="1" w:styleId="56">
    <w:name w:val="页脚 Char"/>
    <w:qFormat/>
    <w:uiPriority w:val="99"/>
    <w:rPr>
      <w:sz w:val="18"/>
      <w:szCs w:val="18"/>
    </w:rPr>
  </w:style>
  <w:style w:type="character" w:customStyle="1" w:styleId="57">
    <w:name w:val="列出段落 字符"/>
    <w:link w:val="58"/>
    <w:qFormat/>
    <w:uiPriority w:val="0"/>
    <w:rPr>
      <w:rFonts w:eastAsia="宋体"/>
      <w:kern w:val="2"/>
      <w:sz w:val="21"/>
      <w:szCs w:val="24"/>
      <w:lang w:val="en-US" w:eastAsia="zh-CN" w:bidi="ar-SA"/>
    </w:rPr>
  </w:style>
  <w:style w:type="paragraph" w:styleId="58">
    <w:name w:val="List Paragraph"/>
    <w:basedOn w:val="1"/>
    <w:link w:val="57"/>
    <w:qFormat/>
    <w:uiPriority w:val="34"/>
    <w:pPr>
      <w:ind w:firstLine="420"/>
    </w:pPr>
    <w:rPr>
      <w:sz w:val="21"/>
    </w:rPr>
  </w:style>
  <w:style w:type="character" w:customStyle="1" w:styleId="59">
    <w:name w:val="正文缩进 Char"/>
    <w:qFormat/>
    <w:uiPriority w:val="0"/>
    <w:rPr>
      <w:rFonts w:ascii="??" w:hAnsi="??" w:eastAsia="Times New Roman"/>
      <w:kern w:val="2"/>
      <w:sz w:val="21"/>
      <w:szCs w:val="22"/>
    </w:rPr>
  </w:style>
  <w:style w:type="character" w:customStyle="1" w:styleId="60">
    <w:name w:val="GW-正文 Char"/>
    <w:link w:val="61"/>
    <w:qFormat/>
    <w:uiPriority w:val="0"/>
    <w:rPr>
      <w:rFonts w:eastAsia="仿宋_GB2312"/>
      <w:kern w:val="2"/>
      <w:sz w:val="24"/>
      <w:szCs w:val="24"/>
      <w:lang w:val="en-US" w:eastAsia="zh-CN" w:bidi="ar-SA"/>
    </w:rPr>
  </w:style>
  <w:style w:type="paragraph" w:customStyle="1" w:styleId="61">
    <w:name w:val="GW-正文"/>
    <w:basedOn w:val="1"/>
    <w:link w:val="60"/>
    <w:qFormat/>
    <w:uiPriority w:val="0"/>
    <w:pPr>
      <w:spacing w:line="360" w:lineRule="auto"/>
    </w:pPr>
    <w:rPr>
      <w:rFonts w:eastAsia="仿宋_GB2312"/>
    </w:rPr>
  </w:style>
  <w:style w:type="character" w:customStyle="1" w:styleId="62">
    <w:name w:val="批注文字 Char1"/>
    <w:qFormat/>
    <w:uiPriority w:val="0"/>
    <w:rPr>
      <w:kern w:val="2"/>
      <w:sz w:val="18"/>
      <w:lang w:bidi="ar-SA"/>
    </w:rPr>
  </w:style>
  <w:style w:type="paragraph" w:customStyle="1" w:styleId="63">
    <w:name w:val="Char Char Char Char Char Char Char Char Char Char Char Char Char Char1 Char Char Char Char"/>
    <w:basedOn w:val="1"/>
    <w:qFormat/>
    <w:uiPriority w:val="0"/>
    <w:rPr>
      <w:szCs w:val="21"/>
    </w:rPr>
  </w:style>
  <w:style w:type="paragraph" w:customStyle="1" w:styleId="64">
    <w:name w:val="表格"/>
    <w:basedOn w:val="1"/>
    <w:qFormat/>
    <w:uiPriority w:val="0"/>
    <w:pPr>
      <w:spacing w:line="400" w:lineRule="exact"/>
    </w:pPr>
  </w:style>
  <w:style w:type="paragraph" w:customStyle="1" w:styleId="65">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66">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7">
    <w:name w:val="CD正文"/>
    <w:basedOn w:val="1"/>
    <w:qFormat/>
    <w:uiPriority w:val="99"/>
    <w:pPr>
      <w:spacing w:line="360" w:lineRule="auto"/>
      <w:ind w:firstLine="493"/>
      <w:jc w:val="both"/>
    </w:pPr>
    <w:rPr>
      <w:sz w:val="30"/>
      <w:szCs w:val="30"/>
    </w:rPr>
  </w:style>
  <w:style w:type="paragraph" w:customStyle="1" w:styleId="68">
    <w:name w:val="标题 5（有编号）（绿盟科技）"/>
    <w:basedOn w:val="1"/>
    <w:next w:val="1"/>
    <w:qFormat/>
    <w:uiPriority w:val="99"/>
    <w:pPr>
      <w:keepNext/>
      <w:keepLines/>
      <w:numPr>
        <w:ilvl w:val="4"/>
        <w:numId w:val="1"/>
      </w:numPr>
      <w:spacing w:before="280" w:after="156" w:line="377" w:lineRule="auto"/>
      <w:outlineLvl w:val="4"/>
    </w:pPr>
    <w:rPr>
      <w:rFonts w:ascii="Arial" w:hAnsi="Arial" w:eastAsia="黑体" w:cs="Arial"/>
      <w:b/>
      <w:bCs/>
    </w:rPr>
  </w:style>
  <w:style w:type="paragraph" w:customStyle="1" w:styleId="6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70">
    <w:name w:val="Default"/>
    <w:next w:val="1"/>
    <w:qFormat/>
    <w:uiPriority w:val="0"/>
    <w:pPr>
      <w:widowControl w:val="0"/>
    </w:pPr>
    <w:rPr>
      <w:rFonts w:ascii="宋体" w:hAnsi="宋体" w:eastAsia="宋体" w:cs="宋体"/>
      <w:color w:val="000000"/>
      <w:sz w:val="24"/>
      <w:szCs w:val="24"/>
      <w:lang w:val="en-US" w:eastAsia="zh-CN" w:bidi="ar-SA"/>
    </w:rPr>
  </w:style>
  <w:style w:type="paragraph" w:customStyle="1" w:styleId="71">
    <w:name w:val="_Style 55"/>
    <w:unhideWhenUsed/>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2">
    <w:name w:val="列出段落2"/>
    <w:basedOn w:val="1"/>
    <w:qFormat/>
    <w:uiPriority w:val="99"/>
    <w:pPr>
      <w:ind w:firstLine="420"/>
    </w:pPr>
  </w:style>
  <w:style w:type="paragraph" w:customStyle="1" w:styleId="73">
    <w:name w:val="修订1"/>
    <w:unhideWhenUsed/>
    <w:qFormat/>
    <w:uiPriority w:val="99"/>
    <w:rPr>
      <w:rFonts w:ascii="Times New Roman" w:hAnsi="Times New Roman" w:eastAsia="宋体" w:cs="Times New Roman"/>
      <w:kern w:val="2"/>
      <w:sz w:val="24"/>
      <w:szCs w:val="24"/>
      <w:lang w:val="en-US" w:eastAsia="zh-CN" w:bidi="ar-SA"/>
    </w:rPr>
  </w:style>
  <w:style w:type="paragraph" w:customStyle="1" w:styleId="74">
    <w:name w:val="样式 首行缩进:  2 字符"/>
    <w:basedOn w:val="1"/>
    <w:qFormat/>
    <w:uiPriority w:val="0"/>
    <w:pPr>
      <w:spacing w:line="400" w:lineRule="exact"/>
    </w:pPr>
    <w:rPr>
      <w:rFonts w:cs="宋体"/>
    </w:rPr>
  </w:style>
  <w:style w:type="paragraph" w:customStyle="1" w:styleId="75">
    <w:name w:val="列表段落1"/>
    <w:basedOn w:val="1"/>
    <w:qFormat/>
    <w:uiPriority w:val="34"/>
    <w:pPr>
      <w:ind w:firstLine="420"/>
    </w:pPr>
    <w:rPr>
      <w:rFonts w:ascii="??" w:hAnsi="??" w:eastAsia="Times New Roman"/>
      <w:szCs w:val="22"/>
    </w:rPr>
  </w:style>
  <w:style w:type="paragraph" w:customStyle="1" w:styleId="76">
    <w:name w:val="正文首行缩进两字符"/>
    <w:basedOn w:val="1"/>
    <w:qFormat/>
    <w:uiPriority w:val="0"/>
    <w:pPr>
      <w:spacing w:line="360" w:lineRule="auto"/>
    </w:pPr>
  </w:style>
  <w:style w:type="paragraph" w:customStyle="1" w:styleId="77">
    <w:name w:val="正文文本缩进1"/>
    <w:basedOn w:val="1"/>
    <w:qFormat/>
    <w:uiPriority w:val="0"/>
    <w:pPr>
      <w:spacing w:after="120"/>
      <w:ind w:left="420" w:leftChars="200"/>
    </w:pPr>
    <w:rPr>
      <w:rFonts w:eastAsia="仿宋_GB2312"/>
      <w:sz w:val="32"/>
    </w:rPr>
  </w:style>
  <w:style w:type="character" w:customStyle="1" w:styleId="78">
    <w:name w:val="日期 字符"/>
    <w:basedOn w:val="36"/>
    <w:link w:val="16"/>
    <w:qFormat/>
    <w:uiPriority w:val="0"/>
    <w:rPr>
      <w:kern w:val="2"/>
      <w:sz w:val="24"/>
      <w:szCs w:val="24"/>
    </w:rPr>
  </w:style>
  <w:style w:type="paragraph" w:customStyle="1" w:styleId="79">
    <w:name w:val="Revision"/>
    <w:hidden/>
    <w:semiHidden/>
    <w:qFormat/>
    <w:uiPriority w:val="99"/>
    <w:rPr>
      <w:rFonts w:ascii="Times New Roman" w:hAnsi="Times New Roman" w:eastAsia="宋体" w:cs="Times New Roman"/>
      <w:kern w:val="2"/>
      <w:sz w:val="24"/>
      <w:szCs w:val="24"/>
      <w:lang w:val="en-US" w:eastAsia="zh-CN" w:bidi="ar-SA"/>
    </w:rPr>
  </w:style>
  <w:style w:type="character" w:customStyle="1" w:styleId="80">
    <w:name w:val="HTML 预设格式 字符"/>
    <w:basedOn w:val="36"/>
    <w:link w:val="30"/>
    <w:uiPriority w:val="99"/>
    <w:rPr>
      <w:rFonts w:ascii="Arial" w:hAnsi="Arial"/>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CED8C3-4F7A-4A20-B49F-5933BB276C61}">
  <ds:schemaRefs/>
</ds:datastoreItem>
</file>

<file path=docProps/app.xml><?xml version="1.0" encoding="utf-8"?>
<Properties xmlns="http://schemas.openxmlformats.org/officeDocument/2006/extended-properties" xmlns:vt="http://schemas.openxmlformats.org/officeDocument/2006/docPropsVTypes">
  <Template>Normal.dotm</Template>
  <Company>www.levovo.com</Company>
  <Pages>55</Pages>
  <Words>24391</Words>
  <Characters>25234</Characters>
  <Lines>210</Lines>
  <Paragraphs>59</Paragraphs>
  <TotalTime>1</TotalTime>
  <ScaleCrop>false</ScaleCrop>
  <LinksUpToDate>false</LinksUpToDate>
  <CharactersWithSpaces>27935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2023-03-30T07:41:00Z</dcterms:created>
  <dc:creator>吴正新</dc:creator>
  <cp:lastModifiedBy>Yana</cp:lastModifiedBy>
  <cp:lastPrinted>2023-03-13T03:39:00Z</cp:lastPrinted>
  <dcterms:modified xsi:type="dcterms:W3CDTF">2023-03-31T02:04:23Z</dcterms:modified>
  <dc:title>招标编号：xx政采招[xxxx] xxx号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F6C64BA7DE46437F99F24139FF0F8EF2</vt:lpwstr>
  </property>
</Properties>
</file>